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222C7" w14:textId="77777777" w:rsidR="00AA44CC" w:rsidRDefault="00000000">
      <w:pPr>
        <w:spacing w:after="40"/>
        <w:jc w:val="right"/>
        <w:rPr>
          <w:lang w:val="ru-RU"/>
        </w:rPr>
      </w:pPr>
      <w:r>
        <w:rPr>
          <w:lang w:val="ru-RU"/>
        </w:rPr>
        <w:t>Приложение № 4 к Пользовательскому соглашению</w:t>
      </w:r>
    </w:p>
    <w:p w14:paraId="772D0980" w14:textId="77777777" w:rsidR="00AA44CC" w:rsidRDefault="00AA44CC">
      <w:pPr>
        <w:spacing w:after="160"/>
        <w:jc w:val="center"/>
        <w:rPr>
          <w:b/>
          <w:sz w:val="26"/>
          <w:lang w:val="ru-RU"/>
        </w:rPr>
      </w:pPr>
    </w:p>
    <w:p w14:paraId="15D27DB5" w14:textId="77777777" w:rsidR="00AA44CC" w:rsidRDefault="00000000">
      <w:pPr>
        <w:spacing w:after="160"/>
        <w:jc w:val="center"/>
        <w:rPr>
          <w:b/>
          <w:sz w:val="26"/>
          <w:lang w:val="ru-RU"/>
        </w:rPr>
      </w:pPr>
      <w:r>
        <w:rPr>
          <w:b/>
          <w:sz w:val="26"/>
          <w:lang w:val="ru-RU"/>
        </w:rPr>
        <w:t>ПРАВИЛА ОТКРЫТИЯ И ВЕДЕНИЯ ЛИЦЕВЫХ СЧЕТОВ ПОЛЬЗОВАТЕЛЕЙ</w:t>
      </w:r>
    </w:p>
    <w:p w14:paraId="472D50E9" w14:textId="77777777" w:rsidR="00AA44CC" w:rsidRDefault="00000000">
      <w:pPr>
        <w:spacing w:after="160"/>
        <w:jc w:val="center"/>
        <w:rPr>
          <w:lang w:val="ru-RU"/>
        </w:rPr>
      </w:pPr>
      <w:r>
        <w:rPr>
          <w:b/>
          <w:sz w:val="26"/>
          <w:lang w:val="ru-RU"/>
        </w:rPr>
        <w:t>НА ЭТП «СТАН-Торги»</w:t>
      </w:r>
    </w:p>
    <w:p w14:paraId="3085D16A" w14:textId="77777777" w:rsidR="00AA44CC" w:rsidRDefault="00000000">
      <w:pPr>
        <w:spacing w:before="160" w:after="120"/>
        <w:ind w:firstLine="567"/>
        <w:jc w:val="both"/>
        <w:rPr>
          <w:lang w:val="ru-RU"/>
        </w:rPr>
      </w:pPr>
      <w:r>
        <w:rPr>
          <w:b/>
          <w:sz w:val="24"/>
          <w:lang w:val="ru-RU"/>
        </w:rPr>
        <w:t>1. Общие положения</w:t>
      </w:r>
    </w:p>
    <w:p w14:paraId="18BF9006" w14:textId="77777777" w:rsidR="00AA44CC" w:rsidRDefault="00000000">
      <w:pPr>
        <w:spacing w:after="120"/>
        <w:ind w:firstLine="567"/>
        <w:jc w:val="both"/>
        <w:rPr>
          <w:lang w:val="ru-RU"/>
        </w:rPr>
      </w:pPr>
      <w:r>
        <w:rPr>
          <w:lang w:val="ru-RU"/>
        </w:rPr>
        <w:t>1.1. Настоящие Правила устанавливают порядок открытия и ведения лицевых счетов, открываемых организациям Пользователей (далее — «лицевой счёт»), зачисления, блокирования, разблокирования и удержания денежных средств, списания платы Оператора, вывода и возврата денежных средств на ЭТП «СТАН-Торги».</w:t>
      </w:r>
    </w:p>
    <w:p w14:paraId="0804F8B8" w14:textId="77777777" w:rsidR="00AA44CC" w:rsidRDefault="00000000">
      <w:pPr>
        <w:spacing w:after="120"/>
        <w:ind w:firstLine="567"/>
        <w:jc w:val="both"/>
        <w:rPr>
          <w:lang w:val="ru-RU"/>
        </w:rPr>
      </w:pPr>
      <w:r>
        <w:rPr>
          <w:lang w:val="ru-RU"/>
        </w:rPr>
        <w:t>1.2. Термины, используемые в настоящих Правилах, применяются в значениях, установленных Глоссарием (Приложение № 1 к Соглашению).</w:t>
      </w:r>
    </w:p>
    <w:p w14:paraId="41C669B5" w14:textId="77777777" w:rsidR="00AA44CC" w:rsidRDefault="00000000">
      <w:pPr>
        <w:spacing w:after="120"/>
        <w:ind w:firstLine="567"/>
        <w:jc w:val="both"/>
        <w:rPr>
          <w:lang w:val="ru-RU"/>
        </w:rPr>
      </w:pPr>
      <w:r>
        <w:rPr>
          <w:lang w:val="ru-RU"/>
        </w:rPr>
        <w:t>1.3. Все операции по лицевым счетам Пользователей ведутся в рублях Российской Федерации.</w:t>
      </w:r>
    </w:p>
    <w:p w14:paraId="73D22DCD" w14:textId="77777777" w:rsidR="00AA44CC" w:rsidRDefault="00000000">
      <w:pPr>
        <w:spacing w:after="120"/>
        <w:ind w:firstLine="567"/>
        <w:jc w:val="both"/>
        <w:rPr>
          <w:lang w:val="ru-RU"/>
        </w:rPr>
      </w:pPr>
      <w:r>
        <w:rPr>
          <w:lang w:val="ru-RU"/>
        </w:rPr>
        <w:t>1.4. Лицевой счёт является счётом, организованным во внутреннем (аналитическом) учёте Оператора и привязанным к расчётному счёту Оператора, открытому в кредитной организации. Операции, осуществляемые Пользователем по лицевому счёту, фактически осуществляются по расчётному счёту Оператора и должны проводиться с соблюдением требований Федерального закона от 07.08.2001 № 115-ФЗ «О противодействии легализации (отмыванию) доходов, полученных преступным путём, и финансированию терроризма» (далее — Закон № 115-ФЗ). Оператор не является кредитной организацией и не вправе оказывать банковские услуги.</w:t>
      </w:r>
    </w:p>
    <w:p w14:paraId="613404A3" w14:textId="77777777" w:rsidR="00AA44CC" w:rsidRDefault="00000000">
      <w:pPr>
        <w:spacing w:after="120"/>
        <w:ind w:firstLine="567"/>
        <w:jc w:val="both"/>
        <w:rPr>
          <w:lang w:val="ru-RU"/>
        </w:rPr>
      </w:pPr>
      <w:r>
        <w:rPr>
          <w:lang w:val="ru-RU"/>
        </w:rPr>
        <w:t xml:space="preserve">1.5. Лицевой счёт используется в целях, предусмотренных настоящими Правилами и Соглашением: для обеспечения заявок на участие в Процедурах денежными средствами, для блокирования при подаче заявки суммы тарифа за победу (пункт 6.2 настоящих Правил), для уплаты платы Оператора, списываемой с лицевого счёта в соответствии с разделом 6 настоящих Правил и Тарифами (Приложение № 8), а также для зачисления удержанного обеспечения заявок в пользу Организатора процедур (Заказчика) в случаях, предусмотренных разделом 5 настоящих Правил. Абонентская плата за доступ к секциям «Коммерческие закупки» и «Продажа», плата за ускоренную аккредитацию и за дополнительные услуги Оператора с лицевого счёта не списываются и оплачиваются по отдельному счёту на оплату (пункт 6.1 настоящих Правил). Не допускается использование лицевого счёта для расчётов между Пользователями и третьими лицами, для хранения денежных средств (зачисление с последующим выводом без совершения операций по целевому использованию счёта), а также для совершения операций, противоречащих требованиям Федерального закона от 07.08.2001 № 115-ФЗ (пункты 1.4–1.6 Правил открытия и ведения лицевых счетов).</w:t>
      </w:r>
    </w:p>
    <w:p w14:paraId="23A2C219" w14:textId="77777777" w:rsidR="00AA44CC" w:rsidRDefault="00000000">
      <w:pPr>
        <w:spacing w:after="120"/>
        <w:ind w:firstLine="567"/>
        <w:jc w:val="both"/>
        <w:rPr>
          <w:lang w:val="ru-RU"/>
        </w:rPr>
      </w:pPr>
      <w:r>
        <w:rPr>
          <w:lang w:val="ru-RU"/>
        </w:rPr>
        <w:t>1.6. Оператор вправе запрашивать у Пользователя документы и сведения о поступивших платежах, их плательщике и назначении, необходимые Оператору для исполнения требований Закона № 115-ФЗ и настоящих Правил.</w:t>
      </w:r>
    </w:p>
    <w:p w14:paraId="35FD0D9A" w14:textId="77777777" w:rsidR="00AA44CC" w:rsidRDefault="00000000">
      <w:pPr>
        <w:spacing w:after="120"/>
        <w:ind w:firstLine="567"/>
        <w:jc w:val="both"/>
        <w:rPr>
          <w:lang w:val="ru-RU"/>
        </w:rPr>
      </w:pPr>
      <w:r>
        <w:rPr>
          <w:lang w:val="ru-RU"/>
        </w:rPr>
        <w:t>1.7. Сроки, указанные в настоящих Правилах, исчисляются по московскому времени (МСК).</w:t>
      </w:r>
    </w:p>
    <w:p w14:paraId="47FFA297" w14:textId="77777777" w:rsidR="00AA44CC" w:rsidRDefault="00000000">
      <w:pPr>
        <w:spacing w:before="160" w:after="120"/>
        <w:ind w:firstLine="567"/>
        <w:jc w:val="both"/>
        <w:rPr>
          <w:lang w:val="ru-RU"/>
        </w:rPr>
      </w:pPr>
      <w:r>
        <w:rPr>
          <w:b/>
          <w:sz w:val="24"/>
          <w:lang w:val="ru-RU"/>
        </w:rPr>
        <w:t>2. Открытие лицевого счёта</w:t>
      </w:r>
    </w:p>
    <w:p w14:paraId="350D45EF" w14:textId="77777777" w:rsidR="00AA44CC" w:rsidRDefault="00000000">
      <w:pPr>
        <w:spacing w:after="120"/>
        <w:ind w:firstLine="567"/>
        <w:jc w:val="both"/>
        <w:rPr>
          <w:lang w:val="ru-RU"/>
        </w:rPr>
      </w:pPr>
      <w:r>
        <w:rPr>
          <w:lang w:val="ru-RU"/>
        </w:rPr>
        <w:t xml:space="preserve">2.1. Лицевой счёт открывается Оператором автоматически организации (юридическому лицу или физическому лицу, в том числе индивидуальному предпринимателю) при её добавлении Пользователем в Личном кабинете; лицевому счёту присваивается номер вида ЛС-XXXXXXXX. </w:t>
      </w:r>
      <w:r>
        <w:rPr>
          <w:lang w:val="ru-RU"/>
        </w:rPr>
        <w:lastRenderedPageBreak/>
        <w:t>Активация лицевого счёта не требуется. Операции по лицевому счёту совершаются от имени организации Пользователями, связанными с этой организацией в Системе.</w:t>
      </w:r>
    </w:p>
    <w:p w14:paraId="5940BBD0" w14:textId="77777777" w:rsidR="00AA44CC" w:rsidRDefault="00000000">
      <w:pPr>
        <w:spacing w:after="120"/>
        <w:ind w:firstLine="567"/>
        <w:jc w:val="both"/>
        <w:rPr>
          <w:lang w:val="ru-RU"/>
        </w:rPr>
      </w:pPr>
      <w:r>
        <w:rPr>
          <w:lang w:val="ru-RU"/>
        </w:rPr>
        <w:t xml:space="preserve">2.2. Лицевой счёт организации является единым. В рамках лицевого счёта учитываются: Субсчёт свободных средств (в Личном кабинете — «Доступно») и Субсчёт блокированных средств (в Личном кабинете — «Заблокировано (обеспечение и тариф за победу)»); общая сумма денежных средств на лицевом счёте отображается как «Всего на счёте». На Субсчёте блокированных средств учитываются суммы обеспечения заявок, суммы тарифа за победу, заблокированные при подаче заявок (пункт 6.2 настоящих Правил), а также суммы заявок на вывод денежных средств до их перечисления (пункт 6.5 настоящих Правил).</w:t>
      </w:r>
    </w:p>
    <w:p w14:paraId="2371FA2C" w14:textId="77777777" w:rsidR="00AA44CC" w:rsidRDefault="00000000">
      <w:pPr>
        <w:spacing w:after="120"/>
        <w:ind w:firstLine="567"/>
        <w:jc w:val="both"/>
        <w:rPr>
          <w:lang w:val="ru-RU"/>
        </w:rPr>
      </w:pPr>
      <w:r>
        <w:rPr>
          <w:lang w:val="ru-RU"/>
        </w:rPr>
        <w:t>2.3. В разделе «Лицевой счёт» Личного кабинета Пользователь может ознакомиться с номером лицевого счёта, суммами денежных средств на лицевом счёте и субсчетах, сформированными платёжными поручениями, заявками на вывод денежных средств и историей операций, а также указать банковские реквизиты организации.</w:t>
      </w:r>
    </w:p>
    <w:p w14:paraId="66973B21" w14:textId="77777777" w:rsidR="00AA44CC" w:rsidRDefault="00000000">
      <w:pPr>
        <w:spacing w:after="120"/>
        <w:ind w:firstLine="567"/>
        <w:jc w:val="both"/>
        <w:rPr>
          <w:lang w:val="ru-RU"/>
        </w:rPr>
      </w:pPr>
      <w:r>
        <w:rPr>
          <w:lang w:val="ru-RU"/>
        </w:rPr>
        <w:t>2.4. Лицевой счёт ведётся в аналитическом учёте Оператора в течение всего срока нахождения организации в Системе, а после прекращения Соглашения — до момента полного возврата остатка денежных средств в порядке, предусмотренном настоящими Правилами.</w:t>
      </w:r>
    </w:p>
    <w:p w14:paraId="52C45653" w14:textId="77777777" w:rsidR="00AA44CC" w:rsidRDefault="00000000">
      <w:pPr>
        <w:spacing w:before="160" w:after="120"/>
        <w:ind w:firstLine="567"/>
        <w:jc w:val="both"/>
        <w:rPr>
          <w:lang w:val="ru-RU"/>
        </w:rPr>
      </w:pPr>
      <w:r>
        <w:rPr>
          <w:b/>
          <w:sz w:val="24"/>
          <w:lang w:val="ru-RU"/>
        </w:rPr>
        <w:t>3. Зачисление денежных средств</w:t>
      </w:r>
    </w:p>
    <w:p w14:paraId="51309939" w14:textId="77777777" w:rsidR="00AA44CC" w:rsidRDefault="00000000">
      <w:pPr>
        <w:spacing w:after="120"/>
        <w:ind w:firstLine="567"/>
        <w:jc w:val="both"/>
        <w:rPr>
          <w:lang w:val="ru-RU"/>
        </w:rPr>
      </w:pPr>
      <w:r>
        <w:rPr>
          <w:lang w:val="ru-RU"/>
        </w:rPr>
        <w:t>3.1. Для пополнения лицевого счёта Пользователь в разделе «Лицевой счёт» Личного кабинета формирует платёжное поручение, указывая сумму и назначение платежа: «Обеспечение заявки» или «Оплата услуг оператора ЭТП». Сформированному платёжному поручению присваивается номер.</w:t>
      </w:r>
    </w:p>
    <w:p w14:paraId="50730F33" w14:textId="77777777" w:rsidR="00AA44CC" w:rsidRDefault="00000000">
      <w:pPr>
        <w:spacing w:after="120"/>
        <w:ind w:firstLine="567"/>
        <w:jc w:val="both"/>
        <w:rPr>
          <w:lang w:val="ru-RU"/>
        </w:rPr>
      </w:pPr>
      <w:r>
        <w:rPr>
          <w:lang w:val="ru-RU"/>
        </w:rPr>
        <w:t>3.2. Пользователь оплачивает платёжное поручение с банковского счёта организации, которой открыт лицевой счёт, по реквизитам Оператора, указанным в платёжном поручении, с указанием в назначении платежа номера платёжного поручения и (или) номера лицевого счёта.</w:t>
      </w:r>
    </w:p>
    <w:p w14:paraId="691AFC27" w14:textId="77777777" w:rsidR="00AA44CC" w:rsidRDefault="00000000">
      <w:pPr>
        <w:spacing w:after="120"/>
        <w:ind w:firstLine="567"/>
        <w:jc w:val="both"/>
        <w:rPr>
          <w:lang w:val="ru-RU"/>
        </w:rPr>
      </w:pPr>
      <w:r>
        <w:rPr>
          <w:lang w:val="ru-RU"/>
        </w:rPr>
        <w:t>3.3. Оператор сверяет поступление денежных средств на расчётный счёт Оператора со сформированным платёжным поручением и зачисляет денежные средства на лицевой счёт в рабочее время Оператора. Если сведения о платеже не позволяют определить лицевой счёт, для зачисления на который он предназначен, Оператор вправе запросить у Пользователя платёжный документ (пункт 1.6 настоящих Правил).</w:t>
      </w:r>
    </w:p>
    <w:p w14:paraId="4B486232" w14:textId="77777777" w:rsidR="00AA44CC" w:rsidRDefault="00000000">
      <w:pPr>
        <w:spacing w:after="120"/>
        <w:ind w:firstLine="567"/>
        <w:jc w:val="both"/>
        <w:rPr>
          <w:lang w:val="ru-RU"/>
        </w:rPr>
      </w:pPr>
      <w:r>
        <w:rPr>
          <w:lang w:val="ru-RU"/>
        </w:rPr>
        <w:t>3.4. Денежные средства, зачисленные на лицевой счёт, учитываются на Субсчёте свободных средств. Зачисление отражается в истории операций по лицевому счёту.</w:t>
      </w:r>
    </w:p>
    <w:p w14:paraId="32EC05EF" w14:textId="77777777" w:rsidR="00AA44CC" w:rsidRDefault="00000000">
      <w:pPr>
        <w:spacing w:after="120"/>
        <w:ind w:firstLine="567"/>
        <w:jc w:val="both"/>
        <w:rPr>
          <w:lang w:val="ru-RU"/>
        </w:rPr>
      </w:pPr>
      <w:r>
        <w:rPr>
          <w:lang w:val="ru-RU"/>
        </w:rPr>
        <w:t>3.5. На Субсчёт свободных средств лицевого счёта Организатора процедур (Заказчика) также зачисляются суммы обеспечения заявок, удержанные в его пользу в порядке, предусмотренном пунктами 5.6 и 5.7 настоящих Правил.</w:t>
      </w:r>
    </w:p>
    <w:p w14:paraId="23AC7FA3" w14:textId="77777777" w:rsidR="00AA44CC" w:rsidRDefault="00000000">
      <w:pPr>
        <w:spacing w:before="160" w:after="120"/>
        <w:ind w:firstLine="567"/>
        <w:jc w:val="both"/>
        <w:rPr>
          <w:lang w:val="ru-RU"/>
        </w:rPr>
      </w:pPr>
      <w:r>
        <w:rPr>
          <w:b/>
          <w:sz w:val="24"/>
          <w:lang w:val="ru-RU"/>
        </w:rPr>
        <w:t>4. Обеспечение заявок на участие в Процедурах</w:t>
      </w:r>
    </w:p>
    <w:p w14:paraId="2BA95394" w14:textId="77777777" w:rsidR="00AA44CC" w:rsidRDefault="00000000">
      <w:pPr>
        <w:spacing w:after="120"/>
        <w:ind w:firstLine="567"/>
        <w:jc w:val="both"/>
        <w:rPr>
          <w:lang w:val="ru-RU"/>
        </w:rPr>
      </w:pPr>
      <w:r>
        <w:rPr>
          <w:lang w:val="ru-RU"/>
        </w:rPr>
        <w:t>4.1. Обеспечение заявки денежными средствами представляет собой блокирование денежных средств на лицевом счёте организации Участника процедуры в качестве обеспечительного платежа (статья 381.1 Гражданского кодекса Российской Федерации) для обеспечения обязательства Участника процедуры заключить договор на условиях поданной им заявки и иных обязательств, предусмотренных пунктом 5.6 настоящих Правил.</w:t>
      </w:r>
    </w:p>
    <w:p w14:paraId="19F8138F" w14:textId="77777777" w:rsidR="00AA44CC" w:rsidRDefault="00000000">
      <w:pPr>
        <w:spacing w:after="120"/>
        <w:ind w:firstLine="567"/>
        <w:jc w:val="both"/>
        <w:rPr>
          <w:lang w:val="ru-RU"/>
        </w:rPr>
      </w:pPr>
      <w:r>
        <w:rPr>
          <w:lang w:val="ru-RU"/>
        </w:rPr>
        <w:t xml:space="preserve">4.2. Требование об обеспечении заявки, его размер и способ устанавливаются Организатором процедур в извещении о проведении Процедуры. </w:t>
      </w:r>
      <w:r>
        <w:rPr>
          <w:color w:val="008000"/>
          <w:lang w:val="ru-RU"/>
        </w:rPr>
        <w:t>Способом обеспечения заявки могут быть установлены денежные средства, независимая/банковская гарантия</w:t>
      </w:r>
      <w:r>
        <w:rPr>
          <w:lang w:val="ru-RU"/>
        </w:rPr>
        <w:t xml:space="preserve"> либо любой из указанных способов на выбор Участника процедуры.</w:t>
      </w:r>
      <w:r>
        <w:rPr>
          <w:color w:val="FF0000"/>
          <w:lang w:val="ru-RU"/>
        </w:rPr>
        <w:t xml:space="preserve"> В Процедурах в секции «Закупки по 223-ФЗ» </w:t>
      </w:r>
      <w:r>
        <w:rPr>
          <w:color w:val="FF0000"/>
          <w:lang w:val="ru-RU"/>
        </w:rPr>
        <w:lastRenderedPageBreak/>
        <w:t>способы обеспечения заявки и его размер определяются Организатором процедур с учётом части 25 и части 27 статьи 3.2 Федерального закона № 223-ФЗ.</w:t>
      </w:r>
    </w:p>
    <w:p w14:paraId="5D1310AA" w14:textId="77777777" w:rsidR="00AA44CC" w:rsidRDefault="00000000">
      <w:pPr>
        <w:spacing w:after="120"/>
        <w:ind w:firstLine="567"/>
        <w:jc w:val="both"/>
        <w:rPr>
          <w:lang w:val="ru-RU"/>
        </w:rPr>
      </w:pPr>
      <w:r>
        <w:rPr>
          <w:lang w:val="ru-RU"/>
        </w:rPr>
        <w:t>4.3. Если извещением установлено обеспечение заявки денежными средствами либо Участник процедуры выбрал этот способ, в момент подачи заявки Система автоматически блокирует денежные средства в размере обеспечения заявки: денежные средства переводятся с Субсчёта свободных средств на Субсчёт блокированных средств, что отражается в Личном кабинете. Заблокированные денежные средства перестают быть свободными и до их разблокирования в соответствии с разделом 5 настоящих Правил не могут быть использованы для вывода, подачи заявок на участие в других Процедурах или уплаты платы Оператора. Самостоятельный перевод Пользователем денежных средств на Субсчёт блокированных средств не предусмотрен.</w:t>
      </w:r>
    </w:p>
    <w:p w14:paraId="3F73410B" w14:textId="77777777" w:rsidR="00AA44CC" w:rsidRDefault="00000000">
      <w:pPr>
        <w:spacing w:after="120"/>
        <w:ind w:firstLine="567"/>
        <w:jc w:val="both"/>
        <w:rPr>
          <w:lang w:val="ru-RU"/>
        </w:rPr>
      </w:pPr>
      <w:r>
        <w:rPr>
          <w:lang w:val="ru-RU"/>
        </w:rPr>
        <w:t xml:space="preserve">4.4. Заявка может быть подана при наличии на Субсчёте свободных средств суммы, достаточной для блокирования обеспечения заявки (если оно предоставляется денежными средствами) и для блокирования суммы тарифа за победу (пункт 6.2 настоящих Правил), а если для Процедуры установлена плата за участие — также для её уплаты (пункт 6.3 настоящих Правил). При замене заявки учитываются денежные средства, заблокированные в качестве обеспечения и суммы тарифа за победу по заменяемой заявке. При недостатке денежных средств заявка не подаётся.</w:t>
      </w:r>
    </w:p>
    <w:p w14:paraId="4393236E" w14:textId="77777777" w:rsidR="00AA44CC" w:rsidRDefault="00000000">
      <w:pPr>
        <w:spacing w:after="120"/>
        <w:ind w:firstLine="567"/>
        <w:jc w:val="both"/>
        <w:rPr>
          <w:lang w:val="ru-RU"/>
        </w:rPr>
      </w:pPr>
      <w:r>
        <w:rPr>
          <w:lang w:val="ru-RU"/>
        </w:rPr>
        <w:t xml:space="preserve">4.5. Если извещением допускается </w:t>
      </w:r>
      <w:r>
        <w:rPr>
          <w:color w:val="008000"/>
          <w:lang w:val="ru-RU"/>
        </w:rPr>
        <w:t>обеспечение заявки независимой/банковской гарантией</w:t>
      </w:r>
      <w:r>
        <w:rPr>
          <w:lang w:val="ru-RU"/>
        </w:rPr>
        <w:t xml:space="preserve"> и Участник процедуры выбрал этот способ, Участник процедуры прикладывает к заявке </w:t>
      </w:r>
      <w:r>
        <w:rPr>
          <w:color w:val="008000"/>
          <w:lang w:val="ru-RU"/>
        </w:rPr>
        <w:t>файл независимой/банковской гарантии</w:t>
      </w:r>
      <w:r>
        <w:rPr>
          <w:lang w:val="ru-RU"/>
        </w:rPr>
        <w:t xml:space="preserve">; денежные средства на лицевом счёте в этом случае не блокируются. Организатор процедур </w:t>
      </w:r>
      <w:r>
        <w:rPr>
          <w:color w:val="008000"/>
          <w:lang w:val="ru-RU"/>
        </w:rPr>
        <w:t>принимает или отклоняет независимую/банковскую гарантию</w:t>
      </w:r>
      <w:r>
        <w:rPr>
          <w:lang w:val="ru-RU"/>
        </w:rPr>
        <w:t xml:space="preserve"> при рассмотрении заявок. </w:t>
      </w:r>
      <w:r>
        <w:rPr>
          <w:color w:val="008000"/>
          <w:lang w:val="ru-RU"/>
        </w:rPr>
        <w:t>Отклонение независимой/банковской гарантии</w:t>
      </w:r>
      <w:r>
        <w:rPr>
          <w:lang w:val="ru-RU"/>
        </w:rPr>
        <w:t xml:space="preserve"> является основанием для отклонения заявки.</w:t>
      </w:r>
    </w:p>
    <w:p w14:paraId="7EC30408" w14:textId="77777777" w:rsidR="00AA44CC" w:rsidRDefault="00000000">
      <w:pPr>
        <w:spacing w:after="120"/>
        <w:ind w:firstLine="567"/>
        <w:jc w:val="both"/>
        <w:rPr>
          <w:lang w:val="ru-RU"/>
        </w:rPr>
      </w:pPr>
      <w:r>
        <w:rPr>
          <w:lang w:val="ru-RU"/>
        </w:rPr>
        <w:t>4.6. Срок блокирования денежных средств в качестве обеспечения заявки указывается Организатором процедур в извещении о проведении Процедуры. Организатор процедур вправе до истечения указанного срока продлить срок блокирования денежных средств Участников процедуры, совершив соответствующее действие в Системе; новый срок блокирования отображается в карточке Процедуры.</w:t>
      </w:r>
    </w:p>
    <w:p w14:paraId="1A7E9547" w14:textId="77777777" w:rsidR="00AA44CC" w:rsidRDefault="00000000">
      <w:pPr>
        <w:spacing w:before="160" w:after="120"/>
        <w:ind w:firstLine="567"/>
        <w:jc w:val="both"/>
        <w:rPr>
          <w:lang w:val="ru-RU"/>
        </w:rPr>
      </w:pPr>
      <w:r>
        <w:rPr>
          <w:b/>
          <w:sz w:val="24"/>
          <w:lang w:val="ru-RU"/>
        </w:rPr>
        <w:t>5. Разблокирование и удержание денежных средств</w:t>
      </w:r>
    </w:p>
    <w:p w14:paraId="05318DB4" w14:textId="77777777" w:rsidR="00AA44CC" w:rsidRDefault="00000000">
      <w:pPr>
        <w:spacing w:after="120"/>
        <w:ind w:firstLine="567"/>
        <w:jc w:val="both"/>
        <w:rPr>
          <w:lang w:val="ru-RU"/>
        </w:rPr>
      </w:pPr>
      <w:r>
        <w:rPr>
          <w:lang w:val="ru-RU"/>
        </w:rPr>
        <w:t>5.1. После размещения протокола, содержащего итоги Процедуры, блокирование денежных средств прекращается в отношении всех Участников процедуры, за исключением победителя Процедуры, а если извещением о проведении Процедуры предусмотрено сохранение блокирования до заключения договора в отношении Участника процедуры, заявке которого присвоено второе место, — также за исключением такого Участника процедуры. Денежные средства указанных лиц остаются заблокированными до заключения договора по итогам Процедуры; при уклонении победителя Процедуры от заключения договора денежные средства Участника процедуры, заявке которого присвоено второе место, остаются заблокированными.</w:t>
      </w:r>
    </w:p>
    <w:p w14:paraId="5915DBC0" w14:textId="77777777" w:rsidR="00AA44CC" w:rsidRDefault="00000000">
      <w:pPr>
        <w:spacing w:after="120"/>
        <w:ind w:firstLine="567"/>
        <w:jc w:val="both"/>
        <w:rPr>
          <w:lang w:val="ru-RU"/>
        </w:rPr>
      </w:pPr>
      <w:r>
        <w:rPr>
          <w:lang w:val="ru-RU"/>
        </w:rPr>
        <w:t xml:space="preserve">5.2. Денежные средства, заблокированные в качестве обеспечения заявки победителя Процедуры, не засчитываются в обеспечение исполнения договора и не перечисляются Организатору процедур (Заказчику): они разблокируются при заключении договора. Если извещением установлено требование об обеспечении исполнения договора, такое обеспечение предоставляется победителем Процедуры отдельно при подписании договора — </w:t>
      </w:r>
      <w:r>
        <w:rPr>
          <w:color w:val="008000"/>
          <w:lang w:val="ru-RU"/>
        </w:rPr>
        <w:t>независимой/банковской гарантией или платёжным документом</w:t>
      </w:r>
      <w:r>
        <w:rPr>
          <w:lang w:val="ru-RU"/>
        </w:rPr>
        <w:t>, прикладываемыми файлом; Организатор процедур (Заказчик) принимает или отклоняет представленное обеспечение.</w:t>
      </w:r>
    </w:p>
    <w:p w14:paraId="369C38C8" w14:textId="77777777" w:rsidR="00AA44CC" w:rsidRDefault="00000000">
      <w:pPr>
        <w:spacing w:after="120"/>
        <w:ind w:firstLine="567"/>
        <w:jc w:val="both"/>
        <w:rPr>
          <w:lang w:val="ru-RU"/>
        </w:rPr>
      </w:pPr>
      <w:r>
        <w:rPr>
          <w:lang w:val="ru-RU"/>
        </w:rPr>
        <w:t>5.3. Основаниями для разблокирования денежных средств на Субсчёте блокированных средств являются:</w:t>
      </w:r>
    </w:p>
    <w:p w14:paraId="223B16F1" w14:textId="77777777" w:rsidR="00AA44CC" w:rsidRDefault="00000000">
      <w:pPr>
        <w:spacing w:after="40"/>
        <w:ind w:firstLine="567"/>
        <w:jc w:val="both"/>
        <w:rPr>
          <w:lang w:val="ru-RU"/>
        </w:rPr>
      </w:pPr>
      <w:r>
        <w:rPr>
          <w:lang w:val="ru-RU"/>
        </w:rPr>
        <w:t>а) отказ Организатора процедур от проведения Процедуры (отмена Процедуры);</w:t>
      </w:r>
    </w:p>
    <w:p w14:paraId="4FEBDD90" w14:textId="77777777" w:rsidR="00AA44CC" w:rsidRDefault="00000000">
      <w:pPr>
        <w:spacing w:after="40"/>
        <w:ind w:firstLine="567"/>
        <w:jc w:val="both"/>
        <w:rPr>
          <w:lang w:val="ru-RU"/>
        </w:rPr>
      </w:pPr>
      <w:r>
        <w:rPr>
          <w:lang w:val="ru-RU"/>
        </w:rPr>
        <w:lastRenderedPageBreak/>
        <w:t>б) отзыв Участником процедуры заявки на участие в Процедуре либо её замена в сроки, в которые отзыв или замена заявки допускаются извещением (при замене заявки разблокируются денежные средства, заблокированные в качестве обеспечения заменяемой заявки);</w:t>
      </w:r>
    </w:p>
    <w:p w14:paraId="269FB821" w14:textId="77777777" w:rsidR="00AA44CC" w:rsidRDefault="00000000">
      <w:pPr>
        <w:spacing w:after="40"/>
        <w:ind w:firstLine="567"/>
        <w:jc w:val="both"/>
        <w:rPr>
          <w:lang w:val="ru-RU"/>
        </w:rPr>
      </w:pPr>
      <w:r>
        <w:rPr>
          <w:lang w:val="ru-RU"/>
        </w:rPr>
        <w:t>в) размещение Организатором процедур протокола, в том числе промежуточного, содержащего решение об отказе Участнику процедуры в допуске к участию в Процедуре (об отклонении его заявки), — в отношении такого Участника процедуры;</w:t>
      </w:r>
    </w:p>
    <w:p w14:paraId="58678328" w14:textId="77777777" w:rsidR="00AA44CC" w:rsidRDefault="00000000">
      <w:pPr>
        <w:spacing w:after="40"/>
        <w:ind w:firstLine="567"/>
        <w:jc w:val="both"/>
        <w:rPr>
          <w:lang w:val="ru-RU"/>
        </w:rPr>
      </w:pPr>
      <w:r>
        <w:rPr>
          <w:lang w:val="ru-RU"/>
        </w:rPr>
        <w:t>г) признание Процедуры несостоявшейся;</w:t>
      </w:r>
    </w:p>
    <w:p w14:paraId="161F8614" w14:textId="77777777" w:rsidR="00AA44CC" w:rsidRDefault="00000000">
      <w:pPr>
        <w:spacing w:after="40"/>
        <w:ind w:firstLine="567"/>
        <w:jc w:val="both"/>
        <w:rPr>
          <w:lang w:val="ru-RU"/>
        </w:rPr>
      </w:pPr>
      <w:r>
        <w:rPr>
          <w:lang w:val="ru-RU"/>
        </w:rPr>
        <w:t>д) размещение Организатором процедур протокола, содержащего итоги Процедуры, — в отношении Участников процедуры, не признанных победителем Процедуры и не являющихся Участником процедуры, блокирование денежных средств которого в соответствии с извещением сохраняется до заключения договора (пункт 5.1 настоящих Правил);</w:t>
      </w:r>
    </w:p>
    <w:p w14:paraId="526759FF" w14:textId="77777777" w:rsidR="00AA44CC" w:rsidRDefault="00000000">
      <w:pPr>
        <w:spacing w:after="40"/>
        <w:ind w:firstLine="567"/>
        <w:jc w:val="both"/>
        <w:rPr>
          <w:lang w:val="ru-RU"/>
        </w:rPr>
      </w:pPr>
      <w:r>
        <w:rPr>
          <w:lang w:val="ru-RU"/>
        </w:rPr>
        <w:t>е) заключение договора по итогам Процедуры — в отношении Участника процедуры, с которым заключён договор, и одновременно в отношении Участника процедуры, блокирование денежных средств которого сохранялось до заключения договора;</w:t>
      </w:r>
    </w:p>
    <w:p w14:paraId="61F47655" w14:textId="77777777" w:rsidR="00AA44CC" w:rsidRDefault="00000000">
      <w:pPr>
        <w:spacing w:after="40"/>
        <w:ind w:firstLine="567"/>
        <w:jc w:val="both"/>
        <w:rPr>
          <w:lang w:val="ru-RU"/>
        </w:rPr>
      </w:pPr>
      <w:r>
        <w:rPr>
          <w:lang w:val="ru-RU"/>
        </w:rPr>
        <w:t xml:space="preserve">ж) истечение указанного в извещении срока блокирования (с учётом его продления), если итоги Процедуры не подведены, — в отношении всех Участников процедуры (пункт 5.5 настоящих Правил); сумма тарифа за победу по этому основанию не разблокируется (пункт 6.2 настоящих Правил);</w:t>
      </w:r>
    </w:p>
    <w:p w14:paraId="7A6C8DE4" w14:textId="77777777" w:rsidR="00AA44CC" w:rsidRDefault="00000000">
      <w:pPr>
        <w:spacing w:after="40"/>
        <w:ind w:firstLine="567"/>
        <w:jc w:val="both"/>
        <w:rPr>
          <w:lang w:val="ru-RU"/>
        </w:rPr>
      </w:pPr>
      <w:r>
        <w:rPr>
          <w:lang w:val="ru-RU"/>
        </w:rPr>
        <w:t>з) вступившее в законную силу решение суда либо соглашение сторон, которыми удержание обеспечения заявки признано необоснованным (подпункт «б» пункта 5.7 настоящих Правил).</w:t>
      </w:r>
    </w:p>
    <w:p w14:paraId="318C5D10" w14:textId="77777777" w:rsidR="00AA44CC" w:rsidRDefault="00000000">
      <w:pPr>
        <w:spacing w:after="120"/>
        <w:ind w:firstLine="567"/>
        <w:jc w:val="both"/>
        <w:rPr>
          <w:lang w:val="ru-RU"/>
        </w:rPr>
      </w:pPr>
      <w:r>
        <w:rPr>
          <w:lang w:val="ru-RU"/>
        </w:rPr>
        <w:t>5.4. Разблокирование денежных средств по основаниям, предусмотренным подпунктами «а»–«ж» пункта 5.3 настоящих Правил, осуществляется Системой автоматически в момент наступления соответствующего события, без подачи Участником процедуры заявки (обращения) и без участия Оператора; разблокированные денежные средства переводятся на Субсчёт свободных средств и отражаются в истории операций. Разблокирование не производится в отношении денежных средств, по которым Организатором процедур (Заказчиком) зафиксировано основание для удержания, до завершения порядка, предусмотренного пунктами 5.6 и 5.7 настоящих Правил.</w:t>
      </w:r>
    </w:p>
    <w:p w14:paraId="70DB04C1" w14:textId="77777777" w:rsidR="00AA44CC" w:rsidRDefault="00000000">
      <w:pPr>
        <w:spacing w:after="120"/>
        <w:ind w:firstLine="567"/>
        <w:jc w:val="both"/>
        <w:rPr>
          <w:lang w:val="ru-RU"/>
        </w:rPr>
      </w:pPr>
      <w:r>
        <w:rPr>
          <w:lang w:val="ru-RU"/>
        </w:rPr>
        <w:t>5.5. Если итоги Процедуры не подведены до истечения срока блокирования, указанного в извещении о проведении Процедуры (с учётом его продления Организатором процедур в соответствии с пунктом 4.6 настоящих Правил), денежные средства разблокируются автоматически у всех Участников процедуры с переводом на Субсчёт свободных средств.</w:t>
      </w:r>
    </w:p>
    <w:p w14:paraId="1D524711" w14:textId="77777777" w:rsidR="00AA44CC" w:rsidRDefault="00000000">
      <w:pPr>
        <w:spacing w:after="120"/>
        <w:ind w:firstLine="567"/>
        <w:jc w:val="both"/>
        <w:rPr>
          <w:lang w:val="ru-RU"/>
        </w:rPr>
      </w:pPr>
      <w:r>
        <w:rPr>
          <w:lang w:val="ru-RU"/>
        </w:rPr>
        <w:t>5.6. Основаниями для удержания обеспечения заявки являются: уклонение победителя Процедуры (либо Участника процедуры, которому направлен договор после уклонения победителя Процедуры) от заключения договора; представление Участником процедуры ложных сведений, в том числе недостоверных сведений в составе заявки; отказ победителя Процедуры предоставить обеспечение исполнения договора при наличии такого требования в извещении.</w:t>
      </w:r>
      <w:r>
        <w:rPr>
          <w:color w:val="FF0000"/>
          <w:lang w:val="ru-RU"/>
        </w:rPr>
        <w:t xml:space="preserve"> В Процедурах в секции «Закупки по 223-ФЗ» возврат (удержание) обеспечения заявки осуществляется строго в случаях, установленных частью 26 статьи 3.2 Федерального закона № 223-ФЗ: уклонение участника закупки или отказ от заключения договора; непредоставление обеспечения исполнения договора до заключения договора (в том числе нарушение условий его предоставления). </w:t>
      </w:r>
      <w:r>
        <w:rPr>
          <w:lang w:val="ru-RU"/>
        </w:rPr>
        <w:t xml:space="preserve">Организатор процедур (Заказчик) фиксирует основание для удержания в Системе. С момента фиксации денежные средства Участника процедуры остаются заблокированными в течение 5 (пяти) календарных дней, в течение которых Участник процедуры вправе оспорить удержание, воспользовавшись соответствующей функцией Личного кабинета. Если в указанный срок удержание не оспорено, Система списывает денежные средства с Субсчёта блокированных средств Участника процедуры и зачисляет их на Субсчёт свободных средств лицевого счёта Организатора процедур (Заказчика); вывод указанных денежных средств осуществляется Организатором процедур (Заказчиком) в порядке, предусмотренном разделом 6 настоящих Правил. Оператор совершает операции по поручению Заказчика на основании </w:t>
      </w:r>
      <w:r>
        <w:rPr>
          <w:lang w:val="ru-RU"/>
        </w:rPr>
        <w:lastRenderedPageBreak/>
        <w:t>Соглашения и документации Процедуры; удержание применяется в размере и порядке, установленных Положением о закупке и извещением, и является способом обеспечения исполнения обязательств Участника процедуры.</w:t>
      </w:r>
    </w:p>
    <w:p w14:paraId="787D20D4" w14:textId="77777777" w:rsidR="00AA44CC" w:rsidRDefault="00000000">
      <w:pPr>
        <w:spacing w:after="120"/>
        <w:ind w:firstLine="567"/>
        <w:jc w:val="both"/>
        <w:rPr>
          <w:lang w:val="ru-RU"/>
        </w:rPr>
      </w:pPr>
      <w:r>
        <w:rPr>
          <w:lang w:val="ru-RU"/>
        </w:rPr>
        <w:t>5.7. Если Участник процедуры оспорил удержание в срок, установленный пунктом 5.6 настоящих Правил, денежные средства остаются заблокированными до урегулирования спора. Для урегулирования спора Участник процедуры или Организатор процедур (Заказчик) представляет Оператору вступившее в законную силу решение суда по указанному спору либо соглашение сторон. На основании указанного решения (соглашения) Оператор совершает одно из следующих действий:</w:t>
      </w:r>
    </w:p>
    <w:p w14:paraId="7361540E" w14:textId="77777777" w:rsidR="00AA44CC" w:rsidRDefault="00000000">
      <w:pPr>
        <w:spacing w:after="40"/>
        <w:ind w:firstLine="567"/>
        <w:jc w:val="both"/>
        <w:rPr>
          <w:lang w:val="ru-RU"/>
        </w:rPr>
      </w:pPr>
      <w:r>
        <w:rPr>
          <w:lang w:val="ru-RU"/>
        </w:rPr>
        <w:t>а) списание денежных средств с Субсчёта блокированных средств Участника процедуры и их зачисление на Субсчёт свободных средств лицевого счёта Организатора процедур (Заказчика);</w:t>
      </w:r>
    </w:p>
    <w:p w14:paraId="77E2A4C7" w14:textId="77777777" w:rsidR="00AA44CC" w:rsidRDefault="00000000">
      <w:pPr>
        <w:spacing w:after="120"/>
        <w:ind w:firstLine="567"/>
        <w:jc w:val="both"/>
        <w:rPr>
          <w:lang w:val="ru-RU"/>
        </w:rPr>
      </w:pPr>
      <w:r>
        <w:rPr>
          <w:lang w:val="ru-RU"/>
        </w:rPr>
        <w:t>б) разблокирование денежных средств Участника процедуры с переводом на его Субсчёт свободных средств.</w:t>
      </w:r>
    </w:p>
    <w:p w14:paraId="4CD864B2" w14:textId="77777777" w:rsidR="00AA44CC" w:rsidRDefault="00000000">
      <w:pPr>
        <w:spacing w:after="120"/>
        <w:ind w:firstLine="567"/>
        <w:jc w:val="both"/>
        <w:rPr>
          <w:lang w:val="ru-RU"/>
        </w:rPr>
      </w:pPr>
      <w:r>
        <w:rPr>
          <w:lang w:val="ru-RU"/>
        </w:rPr>
        <w:t>Оператор совершает операции по поручению Заказчика на основании Соглашения и документации Процедуры; удержание применяется в размере и порядке, установленных Положением о закупке и извещением, и является способом обеспечения исполнения обязательств Участника процедуры.</w:t>
      </w:r>
    </w:p>
    <w:p w14:paraId="249BEAFD" w14:textId="77777777" w:rsidR="00AA44CC" w:rsidRDefault="00000000">
      <w:pPr>
        <w:spacing w:after="120"/>
        <w:ind w:firstLine="567"/>
        <w:jc w:val="both"/>
        <w:rPr>
          <w:lang w:val="ru-RU"/>
        </w:rPr>
      </w:pPr>
      <w:r>
        <w:rPr>
          <w:lang w:val="ru-RU"/>
        </w:rPr>
        <w:t>5.8. Организатор процедур (Заказчик) утрачивает право на удержание сумм обеспечения, внесённых Участниками процедуры, если не подводит итоги Процедуры в течение указанного в извещении срока блокирования (с учётом его продления); в этом случае денежные средства разблокируются в порядке, предусмотренном пунктом 5.5 настоящих Правил.</w:t>
      </w:r>
    </w:p>
    <w:p w14:paraId="0C92BC16" w14:textId="4F7661AB" w:rsidR="00AA44CC" w:rsidRPr="007E3649" w:rsidRDefault="00000000">
      <w:pPr>
        <w:spacing w:before="160" w:after="120"/>
        <w:ind w:firstLine="567"/>
        <w:jc w:val="both"/>
        <w:rPr>
          <w:lang w:val="ru-RU"/>
        </w:rPr>
      </w:pPr>
      <w:r w:rsidRPr="007E3649">
        <w:rPr>
          <w:b/>
          <w:sz w:val="24"/>
          <w:lang w:val="ru-RU"/>
        </w:rPr>
        <w:t>6. Списание платы</w:t>
      </w:r>
      <w:r w:rsidR="00764B22" w:rsidRPr="007E3649">
        <w:rPr>
          <w:b/>
          <w:sz w:val="24"/>
          <w:lang w:val="ru-RU"/>
        </w:rPr>
        <w:t xml:space="preserve"> за услуги</w:t>
      </w:r>
      <w:r w:rsidRPr="007E3649">
        <w:rPr>
          <w:b/>
          <w:sz w:val="24"/>
          <w:lang w:val="ru-RU"/>
        </w:rPr>
        <w:t xml:space="preserve"> Оператора, вывод и возврат денежных средств</w:t>
      </w:r>
    </w:p>
    <w:p w14:paraId="7446591A" w14:textId="21483EDF" w:rsidR="00AA44CC" w:rsidRPr="007E3649" w:rsidRDefault="00000000">
      <w:pPr>
        <w:spacing w:after="120"/>
        <w:ind w:firstLine="567"/>
        <w:jc w:val="both"/>
        <w:rPr>
          <w:lang w:val="ru-RU"/>
        </w:rPr>
      </w:pPr>
      <w:r>
        <w:rPr>
          <w:lang w:val="ru-RU"/>
        </w:rPr>
        <w:t xml:space="preserve">6.1. С лицевого счёта организации списывается плата за услуги Оператора в размере установленном Тарифами (Приложение № 8): тариф за победу либо, если индивидуальным тарифом Заказчика установлено такое основание, плата за участие. Плата за участие списывается с Субсчёта свободных средств; тариф за победу списывается за счёт суммы, заблокированной при подаче заявки, в порядке, установленном пунктом 6.2 настоящих Правил. Абонентская плата за доступ к секциям «Коммерческие закупки» и «Продажа», плата за ускоренную аккредитацию и за дополнительные услуги Оператора с лицевого счёта не списываются: они оплачиваются по отдельному счёту на оплату (в том числе сформированному в разделе «Подписка» Личного кабинета).</w:t>
      </w:r>
    </w:p>
    <w:p w14:paraId="49D534BA" w14:textId="197196E2" w:rsidR="00AA44CC" w:rsidRDefault="00000000">
      <w:pPr>
        <w:spacing w:after="120"/>
        <w:ind w:firstLine="567"/>
        <w:jc w:val="both"/>
        <w:rPr>
          <w:lang w:val="ru-RU"/>
        </w:rPr>
      </w:pPr>
      <w:r>
        <w:rPr>
          <w:lang w:val="ru-RU"/>
        </w:rPr>
        <w:t xml:space="preserve">6.2. Тариф за победу исчисляется по лоту, на который подана заявка, в размере, установленном Тарифами (Приложение № 8). В момент подачи заявки на участие в Процедуре, по которой взимается тариф за победу, Система автоматически блокирует на лицевом счёте Участника процедуры сумму тарифа за победу: денежные средства переводятся с Субсчёта свободных средств на Субсчёт блокированных средств. Тариф за победу списывается с лицевого счёта победителя Процедуры (Участника процедуры, с которым заключается договор) в момент подведения итогов Процедуры (размещения протокола) за счёт заблокированной суммы. Сумма тарифа за победу, заблокированная у иных Участников процедуры, разблокируется при размещении протокола, содержащего итоги Процедуры, — в отношении всех Участников процедуры, не признанных победителем Процедуры, в том числе Участника процедуры, заявке которого присвоено второе место, — а также по основаниям, предусмотренным подпунктами «а»–«г» пункта 5.3 настоящих Правил. Истечение срока блокирования обеспечения заявки (подпункт «ж» пункта 5.3 настоящих Правил) не является основанием для разблокирования суммы тарифа за победу.</w:t>
      </w:r>
    </w:p>
    <w:p w14:paraId="49D534BA" w14:textId="197196E2" w:rsidR="00AA44CC" w:rsidRDefault="00000000">
      <w:pPr>
        <w:spacing w:after="120"/>
        <w:ind w:firstLine="567"/>
        <w:jc w:val="both"/>
        <w:rPr>
          <w:lang w:val="ru-RU"/>
        </w:rPr>
      </w:pPr>
      <w:r>
        <w:rPr>
          <w:lang w:val="ru-RU"/>
        </w:rPr>
        <w:t xml:space="preserve">Если сумма тарифа за победу не была заблокирована при подаче заявки (в том числе в случае заключения договора с иным Участником процедуры после уклонения победителя Процедуры от заключения договора, а также в Процедурах способом «Электронный магазин», заявки в которых формируются из предварительных предложений), тариф за победу списывается с Субсчёта свободных средств в момент подведения итогов Процедуры либо в момент признания победителем иного Участника процедуры; при недостаточности свободных средств тариф за победу списывается после пополнения лицевого счёта. При аннулировании проекта договора и повторном его подписании тариф за победу повторно не списывается.</w:t>
      </w:r>
    </w:p>
    <w:p w14:paraId="1354AE32" w14:textId="0DE9F48A" w:rsidR="00AA44CC" w:rsidRDefault="00000000">
      <w:pPr>
        <w:spacing w:after="120"/>
        <w:ind w:firstLine="567"/>
        <w:jc w:val="both"/>
        <w:rPr>
          <w:lang w:val="ru-RU"/>
        </w:rPr>
      </w:pPr>
      <w:r>
        <w:rPr>
          <w:lang w:val="ru-RU"/>
        </w:rPr>
        <w:t>6.3. Если индивидуальным тарифом Заказчика установлена плата за участие, она списывается с лицевого счёта Участника процедуры в момент подачи заявки на участие в Процедуре, возвращается при отзыве/отклонении заявки.</w:t>
      </w:r>
    </w:p>
    <w:p w14:paraId="32AB79D9" w14:textId="77777777" w:rsidR="00AA44CC" w:rsidRDefault="00000000">
      <w:pPr>
        <w:spacing w:after="120"/>
        <w:ind w:firstLine="567"/>
        <w:jc w:val="both"/>
        <w:rPr>
          <w:lang w:val="ru-RU"/>
        </w:rPr>
      </w:pPr>
      <w:r>
        <w:rPr>
          <w:lang w:val="ru-RU"/>
        </w:rPr>
        <w:t xml:space="preserve">6.4. Вывод денежных средств с Субсчёта свободных средств осуществляется Оператором на основании заявки на вывод денежных средств, которую Пользователь формирует в разделе «Лицевой счёт» Личного кабинета, указывая сумму и, при необходимости, комментарий. Заявка на вывод денежных средств подписывается КЭП. Сумма вывода не может превышать сумму денежных средств на Субсчёте свободных средств. Не допускается использование лицевого счёта для расчётов между Пользователями и третьими лицами, для хранения денежных средств (зачисление с последующим выводом без совершения операций по целевому использованию счёта), а также для совершения операций, противоречащих требованиям Федерального закона от 07.08.2001 № 115-ФЗ (пункты 1.4–1.6 Правил открытия и ведения лицевых счетов).</w:t>
      </w:r>
    </w:p>
    <w:p w14:paraId="776E50D2" w14:textId="77777777" w:rsidR="00AA44CC" w:rsidRDefault="00000000">
      <w:pPr>
        <w:spacing w:after="120"/>
        <w:ind w:firstLine="567"/>
        <w:jc w:val="both"/>
        <w:rPr>
          <w:lang w:val="ru-RU"/>
        </w:rPr>
      </w:pPr>
      <w:r>
        <w:rPr>
          <w:lang w:val="ru-RU"/>
        </w:rPr>
        <w:lastRenderedPageBreak/>
        <w:t>6.5. Денежные средства перечисляются исключительно на банковский счёт организации, которой открыт лицевой счёт, по банковским реквизитам, указанным в разделе «Лицевой счёт»; при отсутствии указанных реквизитов заявка на вывод не может быть сформирована. С момента формирования заявки на вывод её сумма блокируется на лицевом счёте до перечисления; при отклонении заявки Оператором сумма разблокируется.</w:t>
      </w:r>
    </w:p>
    <w:p w14:paraId="5E1F8412" w14:textId="77777777" w:rsidR="00AA44CC" w:rsidRDefault="00000000">
      <w:pPr>
        <w:spacing w:after="120"/>
        <w:ind w:firstLine="567"/>
        <w:jc w:val="both"/>
        <w:rPr>
          <w:lang w:val="ru-RU"/>
        </w:rPr>
      </w:pPr>
      <w:r>
        <w:rPr>
          <w:lang w:val="ru-RU"/>
        </w:rPr>
        <w:t>6.6. Оператор перечисляет денежные средства по заявке на вывод в течение 5 (пяти) рабочих дней с даты её формирования. Датой перечисления денежных средств считается дата списания денежных средств с расчётного счёта Оператора.</w:t>
      </w:r>
    </w:p>
    <w:p w14:paraId="7A1A8313" w14:textId="77777777" w:rsidR="00AA44CC" w:rsidRDefault="00000000">
      <w:pPr>
        <w:spacing w:after="120"/>
        <w:ind w:firstLine="567"/>
        <w:jc w:val="both"/>
        <w:rPr>
          <w:lang w:val="ru-RU"/>
        </w:rPr>
      </w:pPr>
      <w:r>
        <w:rPr>
          <w:lang w:val="ru-RU"/>
        </w:rPr>
        <w:t xml:space="preserve">6.7. При прекращении Соглашения Оператор по заявлению Пользователя закрывает лицевой счёт организации и </w:t>
      </w:r>
      <w:r>
        <w:rPr>
          <w:color w:val="FF0000"/>
          <w:lang w:val="ru-RU"/>
        </w:rPr>
        <w:t>в течение 5 (пяти) рабочих дней с даты получения заявления Пользователя о возврате денежных средств</w:t>
      </w:r>
      <w:r>
        <w:rPr>
          <w:lang w:val="ru-RU"/>
        </w:rPr>
        <w:t xml:space="preserve"> возвращает остаток денежных средств на лицевом счёте (за вычетом задолженности перед Оператором) на банковский счёт организации, указанный в заявлении о возврате денежных средств (пункт 10.6 Соглашения). Денежные средства, заблокированные на дату прекращения Соглашения, возвращаются в указанном порядке после их разблокирования в соответствии с разделом 5 настоящих Правил.</w:t>
      </w:r>
    </w:p>
    <w:p w14:paraId="66235641" w14:textId="77777777" w:rsidR="00AA44CC" w:rsidRDefault="00000000">
      <w:pPr>
        <w:spacing w:after="120"/>
        <w:ind w:firstLine="567"/>
        <w:jc w:val="both"/>
        <w:rPr>
          <w:lang w:val="ru-RU"/>
        </w:rPr>
      </w:pPr>
      <w:r>
        <w:rPr>
          <w:lang w:val="ru-RU"/>
        </w:rPr>
        <w:t>6.8. Операции с денежными средствами, находящимися на лицевом счёте, осуществляются в сроки, установленные Соглашением и настоящими Правилами.</w:t>
      </w:r>
    </w:p>
    <w:p w14:paraId="74B0DA3F" w14:textId="77777777" w:rsidR="00AA44CC" w:rsidRDefault="00000000">
      <w:pPr>
        <w:spacing w:before="160" w:after="120"/>
        <w:ind w:firstLine="567"/>
        <w:jc w:val="both"/>
        <w:rPr>
          <w:lang w:val="ru-RU"/>
        </w:rPr>
      </w:pPr>
      <w:r>
        <w:rPr>
          <w:b/>
          <w:sz w:val="24"/>
          <w:lang w:val="ru-RU"/>
        </w:rPr>
        <w:t>7. Конфиденциальность информации о денежных средствах</w:t>
      </w:r>
    </w:p>
    <w:p w14:paraId="3FB18C89" w14:textId="77777777" w:rsidR="00AA44CC" w:rsidRDefault="00000000">
      <w:pPr>
        <w:spacing w:after="120"/>
        <w:ind w:firstLine="567"/>
        <w:jc w:val="both"/>
        <w:rPr>
          <w:lang w:val="ru-RU"/>
        </w:rPr>
      </w:pPr>
      <w:r>
        <w:rPr>
          <w:lang w:val="ru-RU"/>
        </w:rPr>
        <w:t>7.1. В процессе открытия и ведения счетов Пользователей в аналитическом учёте Системы и связанного с этим документооборота Оператор обеспечивает недоступность для третьих лиц информации о размере сумм денежных средств, находящихся на лицевых счетах Пользователей, за исключением случаев, предусмотренных действующим законодательством Российской Федерации.</w:t>
      </w:r>
    </w:p>
    <w:p w14:paraId="1969421B" w14:textId="77777777" w:rsidR="00AA44CC" w:rsidRDefault="00000000">
      <w:pPr>
        <w:spacing w:before="160" w:after="120"/>
        <w:ind w:firstLine="567"/>
        <w:jc w:val="both"/>
        <w:rPr>
          <w:lang w:val="ru-RU"/>
        </w:rPr>
      </w:pPr>
      <w:r>
        <w:rPr>
          <w:b/>
          <w:sz w:val="24"/>
          <w:lang w:val="ru-RU"/>
        </w:rPr>
        <w:t>8. Заключительные положения</w:t>
      </w:r>
    </w:p>
    <w:p w14:paraId="7619D395" w14:textId="77777777" w:rsidR="00AA44CC" w:rsidRDefault="00000000">
      <w:pPr>
        <w:spacing w:after="120"/>
        <w:ind w:firstLine="567"/>
        <w:jc w:val="both"/>
        <w:rPr>
          <w:lang w:val="ru-RU"/>
        </w:rPr>
      </w:pPr>
      <w:r>
        <w:rPr>
          <w:lang w:val="ru-RU"/>
        </w:rPr>
        <w:t>8.1. Настоящие Правила применяются с учётом требований Федерального закона от 18.07.2011 № 223-ФЗ «О закупках товаров, работ, услуг отдельными видами юридических лиц» в части проведения Процедур в секции Системы «Закупки по 223-ФЗ», а также антимонопольных требований, установленных статьёй 17 Федерального закона от 26.07.2006 № 135-ФЗ «О защите конкуренции» (далее — Федеральный закон № 135-ФЗ).</w:t>
      </w:r>
    </w:p>
    <w:p w14:paraId="57D6E9CC" w14:textId="77777777" w:rsidR="00AA44CC" w:rsidRDefault="00000000">
      <w:pPr>
        <w:spacing w:after="120"/>
        <w:ind w:firstLine="567"/>
        <w:jc w:val="both"/>
        <w:rPr>
          <w:lang w:val="ru-RU"/>
        </w:rPr>
      </w:pPr>
      <w:r>
        <w:rPr>
          <w:lang w:val="ru-RU"/>
        </w:rPr>
        <w:t>8.2. Условия открытия и ведения лицевых счетов, блокирования денежных средств и их разблокирования применяются в равной степени ко всем Пользователям и не должны приводить к созданию преимущественных условий участия отдельных Пользователей в Процедурах либо к необоснованному ограничению конкуренции (часть 1 статьи 17 Федерального закона № 135-ФЗ).</w:t>
      </w:r>
    </w:p>
    <w:p w14:paraId="6AD41BE3" w14:textId="77777777" w:rsidR="00AA44CC" w:rsidRDefault="00000000">
      <w:pPr>
        <w:spacing w:after="120"/>
        <w:ind w:firstLine="567"/>
        <w:jc w:val="both"/>
        <w:rPr>
          <w:lang w:val="ru-RU"/>
        </w:rPr>
      </w:pPr>
      <w:r>
        <w:rPr>
          <w:lang w:val="ru-RU"/>
        </w:rPr>
        <w:t>8.3. В случае противоречия положений настоящих Правил законодательству Российской Федерации, Соглашению и приложениям к нему применяются законодательство Российской Федерации, Соглашение и приложения к нему.</w:t>
      </w:r>
    </w:p>
    <w:p w14:paraId="663EB911" w14:textId="77777777" w:rsidR="00AA44CC" w:rsidRDefault="00000000">
      <w:pPr>
        <w:spacing w:after="120"/>
        <w:ind w:firstLine="567"/>
        <w:jc w:val="both"/>
        <w:rPr>
          <w:lang w:val="ru-RU"/>
        </w:rPr>
      </w:pPr>
      <w:r>
        <w:rPr>
          <w:lang w:val="ru-RU"/>
        </w:rPr>
        <w:t>8.4. Изменения в настоящие Правила вносятся в порядке, установленном пунктом 10.2 Соглашения, публикуются на официальном сайте и (или) в Личном кабинете Пользователя и вступают в силу не ранее чем через 10 (десять) календарных дней с даты опубликования.</w:t>
      </w:r>
    </w:p>
    <w:sectPr w:rsidR="00AA44CC">
      <w:footerReference w:type="default" r:id="rId8"/>
      <w:pgSz w:w="11906" w:h="16838"/>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B694C" w14:textId="77777777" w:rsidR="006667AD" w:rsidRDefault="006667AD">
      <w:pPr>
        <w:spacing w:after="0" w:line="240" w:lineRule="auto"/>
      </w:pPr>
      <w:r>
        <w:separator/>
      </w:r>
    </w:p>
  </w:endnote>
  <w:endnote w:type="continuationSeparator" w:id="0">
    <w:p w14:paraId="73BC2D31" w14:textId="77777777" w:rsidR="006667AD" w:rsidRDefault="00666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charset w:val="00"/>
    <w:family w:val="auto"/>
    <w:pitch w:val="default"/>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73C4E" w14:textId="77777777" w:rsidR="00AA44CC" w:rsidRDefault="00000000">
    <w:pPr>
      <w:pStyle w:val="af1"/>
      <w:jc w:val="center"/>
    </w:pPr>
    <w:proofErr w:type="spellStart"/>
    <w:r>
      <w:rPr>
        <w:color w:val="000000"/>
        <w:sz w:val="20"/>
      </w:rPr>
      <w:t>Страница</w:t>
    </w:r>
    <w:proofErr w:type="spellEnd"/>
    <w:r>
      <w:rPr>
        <w:color w:val="000000"/>
        <w:sz w:val="20"/>
      </w:rPr>
      <w:t xml:space="preserve"> </w:t>
    </w:r>
    <w:r>
      <w:rPr>
        <w:color w:val="000000"/>
        <w:sz w:val="20"/>
      </w:rPr>
      <w:fldChar w:fldCharType="begin"/>
    </w:r>
    <w:r>
      <w:rPr>
        <w:color w:val="000000"/>
        <w:sz w:val="20"/>
      </w:rPr>
      <w:instrText>PAGE</w:instrText>
    </w:r>
    <w:r>
      <w:rPr>
        <w:color w:val="000000"/>
        <w:sz w:val="20"/>
      </w:rPr>
      <w:fldChar w:fldCharType="separate"/>
    </w:r>
    <w:r>
      <w:rPr>
        <w:color w:val="000000"/>
        <w:sz w:val="20"/>
      </w:rPr>
      <w:t>1</w:t>
    </w:r>
    <w:r>
      <w:rPr>
        <w:color w:val="000000"/>
        <w:sz w:val="20"/>
      </w:rPr>
      <w:fldChar w:fldCharType="end"/>
    </w:r>
    <w:r>
      <w:rPr>
        <w:color w:val="000000"/>
        <w:sz w:val="20"/>
      </w:rPr>
      <w:t xml:space="preserve"> </w:t>
    </w:r>
    <w:proofErr w:type="spellStart"/>
    <w:r>
      <w:rPr>
        <w:color w:val="000000"/>
        <w:sz w:val="20"/>
      </w:rPr>
      <w:t>из</w:t>
    </w:r>
    <w:proofErr w:type="spellEnd"/>
    <w:r>
      <w:rPr>
        <w:color w:val="000000"/>
        <w:sz w:val="20"/>
      </w:rPr>
      <w:t xml:space="preserve"> </w:t>
    </w:r>
    <w:r>
      <w:rPr>
        <w:color w:val="000000"/>
        <w:sz w:val="20"/>
      </w:rPr>
      <w:fldChar w:fldCharType="begin"/>
    </w:r>
    <w:r>
      <w:rPr>
        <w:color w:val="000000"/>
        <w:sz w:val="20"/>
      </w:rPr>
      <w:instrText>NUMPAGES</w:instrText>
    </w:r>
    <w:r>
      <w:rPr>
        <w:color w:val="000000"/>
        <w:sz w:val="20"/>
      </w:rPr>
      <w:fldChar w:fldCharType="separate"/>
    </w:r>
    <w:r>
      <w:rPr>
        <w:color w:val="000000"/>
        <w:sz w:val="20"/>
      </w:rPr>
      <w:t>2</w:t>
    </w:r>
    <w:r>
      <w:rPr>
        <w:color w:val="00000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603D1" w14:textId="77777777" w:rsidR="006667AD" w:rsidRDefault="006667AD">
      <w:pPr>
        <w:spacing w:after="0" w:line="240" w:lineRule="auto"/>
      </w:pPr>
      <w:r>
        <w:separator/>
      </w:r>
    </w:p>
  </w:footnote>
  <w:footnote w:type="continuationSeparator" w:id="0">
    <w:p w14:paraId="42519264" w14:textId="77777777" w:rsidR="006667AD" w:rsidRDefault="006667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0146B"/>
    <w:multiLevelType w:val="hybridMultilevel"/>
    <w:tmpl w:val="F59CF904"/>
    <w:lvl w:ilvl="0" w:tplc="A1AE0D9A">
      <w:start w:val="1"/>
      <w:numFmt w:val="decimal"/>
      <w:pStyle w:val="a"/>
      <w:lvlText w:val="%1."/>
      <w:lvlJc w:val="left"/>
      <w:pPr>
        <w:tabs>
          <w:tab w:val="num" w:pos="360"/>
        </w:tabs>
        <w:ind w:left="360" w:hanging="360"/>
      </w:pPr>
    </w:lvl>
    <w:lvl w:ilvl="1" w:tplc="0E32D622">
      <w:start w:val="1"/>
      <w:numFmt w:val="bullet"/>
      <w:lvlText w:val="o"/>
      <w:lvlJc w:val="left"/>
      <w:pPr>
        <w:ind w:left="1440" w:hanging="360"/>
      </w:pPr>
      <w:rPr>
        <w:rFonts w:ascii="Courier New" w:eastAsia="Courier New" w:hAnsi="Courier New" w:cs="Courier New" w:hint="default"/>
      </w:rPr>
    </w:lvl>
    <w:lvl w:ilvl="2" w:tplc="7DA6A806">
      <w:start w:val="1"/>
      <w:numFmt w:val="bullet"/>
      <w:lvlText w:val="§"/>
      <w:lvlJc w:val="left"/>
      <w:pPr>
        <w:ind w:left="2160" w:hanging="360"/>
      </w:pPr>
      <w:rPr>
        <w:rFonts w:ascii="Wingdings" w:eastAsia="Wingdings" w:hAnsi="Wingdings" w:cs="Wingdings" w:hint="default"/>
      </w:rPr>
    </w:lvl>
    <w:lvl w:ilvl="3" w:tplc="A12A6638">
      <w:start w:val="1"/>
      <w:numFmt w:val="bullet"/>
      <w:lvlText w:val="·"/>
      <w:lvlJc w:val="left"/>
      <w:pPr>
        <w:ind w:left="2880" w:hanging="360"/>
      </w:pPr>
      <w:rPr>
        <w:rFonts w:ascii="Symbol" w:eastAsia="Symbol" w:hAnsi="Symbol" w:cs="Symbol" w:hint="default"/>
      </w:rPr>
    </w:lvl>
    <w:lvl w:ilvl="4" w:tplc="EAE621AA">
      <w:start w:val="1"/>
      <w:numFmt w:val="bullet"/>
      <w:lvlText w:val="o"/>
      <w:lvlJc w:val="left"/>
      <w:pPr>
        <w:ind w:left="3600" w:hanging="360"/>
      </w:pPr>
      <w:rPr>
        <w:rFonts w:ascii="Courier New" w:eastAsia="Courier New" w:hAnsi="Courier New" w:cs="Courier New" w:hint="default"/>
      </w:rPr>
    </w:lvl>
    <w:lvl w:ilvl="5" w:tplc="01C8C586">
      <w:start w:val="1"/>
      <w:numFmt w:val="bullet"/>
      <w:lvlText w:val="§"/>
      <w:lvlJc w:val="left"/>
      <w:pPr>
        <w:ind w:left="4320" w:hanging="360"/>
      </w:pPr>
      <w:rPr>
        <w:rFonts w:ascii="Wingdings" w:eastAsia="Wingdings" w:hAnsi="Wingdings" w:cs="Wingdings" w:hint="default"/>
      </w:rPr>
    </w:lvl>
    <w:lvl w:ilvl="6" w:tplc="61964B10">
      <w:start w:val="1"/>
      <w:numFmt w:val="bullet"/>
      <w:lvlText w:val="·"/>
      <w:lvlJc w:val="left"/>
      <w:pPr>
        <w:ind w:left="5040" w:hanging="360"/>
      </w:pPr>
      <w:rPr>
        <w:rFonts w:ascii="Symbol" w:eastAsia="Symbol" w:hAnsi="Symbol" w:cs="Symbol" w:hint="default"/>
      </w:rPr>
    </w:lvl>
    <w:lvl w:ilvl="7" w:tplc="35AED806">
      <w:start w:val="1"/>
      <w:numFmt w:val="bullet"/>
      <w:lvlText w:val="o"/>
      <w:lvlJc w:val="left"/>
      <w:pPr>
        <w:ind w:left="5760" w:hanging="360"/>
      </w:pPr>
      <w:rPr>
        <w:rFonts w:ascii="Courier New" w:eastAsia="Courier New" w:hAnsi="Courier New" w:cs="Courier New" w:hint="default"/>
      </w:rPr>
    </w:lvl>
    <w:lvl w:ilvl="8" w:tplc="EAAA0D78">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FC22EAD"/>
    <w:multiLevelType w:val="hybridMultilevel"/>
    <w:tmpl w:val="B4465D84"/>
    <w:lvl w:ilvl="0" w:tplc="1904F234">
      <w:start w:val="1"/>
      <w:numFmt w:val="decimal"/>
      <w:lvlText w:val="%1."/>
      <w:lvlJc w:val="left"/>
      <w:pPr>
        <w:tabs>
          <w:tab w:val="num" w:pos="1800"/>
        </w:tabs>
        <w:ind w:left="1800" w:hanging="360"/>
      </w:pPr>
    </w:lvl>
    <w:lvl w:ilvl="1" w:tplc="7BE68F9C">
      <w:start w:val="1"/>
      <w:numFmt w:val="bullet"/>
      <w:lvlText w:val="o"/>
      <w:lvlJc w:val="left"/>
      <w:pPr>
        <w:ind w:left="1440" w:hanging="360"/>
      </w:pPr>
      <w:rPr>
        <w:rFonts w:ascii="Courier New" w:eastAsia="Courier New" w:hAnsi="Courier New" w:cs="Courier New" w:hint="default"/>
      </w:rPr>
    </w:lvl>
    <w:lvl w:ilvl="2" w:tplc="F9722CA0">
      <w:start w:val="1"/>
      <w:numFmt w:val="bullet"/>
      <w:lvlText w:val="§"/>
      <w:lvlJc w:val="left"/>
      <w:pPr>
        <w:ind w:left="2160" w:hanging="360"/>
      </w:pPr>
      <w:rPr>
        <w:rFonts w:ascii="Wingdings" w:eastAsia="Wingdings" w:hAnsi="Wingdings" w:cs="Wingdings" w:hint="default"/>
      </w:rPr>
    </w:lvl>
    <w:lvl w:ilvl="3" w:tplc="604CCF84">
      <w:start w:val="1"/>
      <w:numFmt w:val="bullet"/>
      <w:lvlText w:val="·"/>
      <w:lvlJc w:val="left"/>
      <w:pPr>
        <w:ind w:left="2880" w:hanging="360"/>
      </w:pPr>
      <w:rPr>
        <w:rFonts w:ascii="Symbol" w:eastAsia="Symbol" w:hAnsi="Symbol" w:cs="Symbol" w:hint="default"/>
      </w:rPr>
    </w:lvl>
    <w:lvl w:ilvl="4" w:tplc="9E4899F8">
      <w:start w:val="1"/>
      <w:numFmt w:val="bullet"/>
      <w:lvlText w:val="o"/>
      <w:lvlJc w:val="left"/>
      <w:pPr>
        <w:ind w:left="3600" w:hanging="360"/>
      </w:pPr>
      <w:rPr>
        <w:rFonts w:ascii="Courier New" w:eastAsia="Courier New" w:hAnsi="Courier New" w:cs="Courier New" w:hint="default"/>
      </w:rPr>
    </w:lvl>
    <w:lvl w:ilvl="5" w:tplc="6CCC2588">
      <w:start w:val="1"/>
      <w:numFmt w:val="bullet"/>
      <w:lvlText w:val="§"/>
      <w:lvlJc w:val="left"/>
      <w:pPr>
        <w:ind w:left="4320" w:hanging="360"/>
      </w:pPr>
      <w:rPr>
        <w:rFonts w:ascii="Wingdings" w:eastAsia="Wingdings" w:hAnsi="Wingdings" w:cs="Wingdings" w:hint="default"/>
      </w:rPr>
    </w:lvl>
    <w:lvl w:ilvl="6" w:tplc="369C7480">
      <w:start w:val="1"/>
      <w:numFmt w:val="bullet"/>
      <w:lvlText w:val="·"/>
      <w:lvlJc w:val="left"/>
      <w:pPr>
        <w:ind w:left="5040" w:hanging="360"/>
      </w:pPr>
      <w:rPr>
        <w:rFonts w:ascii="Symbol" w:eastAsia="Symbol" w:hAnsi="Symbol" w:cs="Symbol" w:hint="default"/>
      </w:rPr>
    </w:lvl>
    <w:lvl w:ilvl="7" w:tplc="C8563CE0">
      <w:start w:val="1"/>
      <w:numFmt w:val="bullet"/>
      <w:lvlText w:val="o"/>
      <w:lvlJc w:val="left"/>
      <w:pPr>
        <w:ind w:left="5760" w:hanging="360"/>
      </w:pPr>
      <w:rPr>
        <w:rFonts w:ascii="Courier New" w:eastAsia="Courier New" w:hAnsi="Courier New" w:cs="Courier New" w:hint="default"/>
      </w:rPr>
    </w:lvl>
    <w:lvl w:ilvl="8" w:tplc="C66CABD8">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1B053D89"/>
    <w:multiLevelType w:val="hybridMultilevel"/>
    <w:tmpl w:val="FF84F87A"/>
    <w:lvl w:ilvl="0" w:tplc="17E060E0">
      <w:start w:val="1"/>
      <w:numFmt w:val="bullet"/>
      <w:pStyle w:val="a0"/>
      <w:lvlText w:val=""/>
      <w:lvlJc w:val="left"/>
      <w:pPr>
        <w:tabs>
          <w:tab w:val="num" w:pos="360"/>
        </w:tabs>
        <w:ind w:left="360" w:hanging="360"/>
      </w:pPr>
      <w:rPr>
        <w:rFonts w:ascii="Symbol" w:hAnsi="Symbol" w:hint="default"/>
      </w:rPr>
    </w:lvl>
    <w:lvl w:ilvl="1" w:tplc="F1A85D08">
      <w:start w:val="1"/>
      <w:numFmt w:val="bullet"/>
      <w:lvlText w:val="o"/>
      <w:lvlJc w:val="left"/>
      <w:pPr>
        <w:ind w:left="1440" w:hanging="360"/>
      </w:pPr>
      <w:rPr>
        <w:rFonts w:ascii="Courier New" w:eastAsia="Courier New" w:hAnsi="Courier New" w:cs="Courier New" w:hint="default"/>
      </w:rPr>
    </w:lvl>
    <w:lvl w:ilvl="2" w:tplc="557E3F28">
      <w:start w:val="1"/>
      <w:numFmt w:val="bullet"/>
      <w:lvlText w:val="§"/>
      <w:lvlJc w:val="left"/>
      <w:pPr>
        <w:ind w:left="2160" w:hanging="360"/>
      </w:pPr>
      <w:rPr>
        <w:rFonts w:ascii="Wingdings" w:eastAsia="Wingdings" w:hAnsi="Wingdings" w:cs="Wingdings" w:hint="default"/>
      </w:rPr>
    </w:lvl>
    <w:lvl w:ilvl="3" w:tplc="55DA11A4">
      <w:start w:val="1"/>
      <w:numFmt w:val="bullet"/>
      <w:lvlText w:val="·"/>
      <w:lvlJc w:val="left"/>
      <w:pPr>
        <w:ind w:left="2880" w:hanging="360"/>
      </w:pPr>
      <w:rPr>
        <w:rFonts w:ascii="Symbol" w:eastAsia="Symbol" w:hAnsi="Symbol" w:cs="Symbol" w:hint="default"/>
      </w:rPr>
    </w:lvl>
    <w:lvl w:ilvl="4" w:tplc="437E8600">
      <w:start w:val="1"/>
      <w:numFmt w:val="bullet"/>
      <w:lvlText w:val="o"/>
      <w:lvlJc w:val="left"/>
      <w:pPr>
        <w:ind w:left="3600" w:hanging="360"/>
      </w:pPr>
      <w:rPr>
        <w:rFonts w:ascii="Courier New" w:eastAsia="Courier New" w:hAnsi="Courier New" w:cs="Courier New" w:hint="default"/>
      </w:rPr>
    </w:lvl>
    <w:lvl w:ilvl="5" w:tplc="25D24A9A">
      <w:start w:val="1"/>
      <w:numFmt w:val="bullet"/>
      <w:lvlText w:val="§"/>
      <w:lvlJc w:val="left"/>
      <w:pPr>
        <w:ind w:left="4320" w:hanging="360"/>
      </w:pPr>
      <w:rPr>
        <w:rFonts w:ascii="Wingdings" w:eastAsia="Wingdings" w:hAnsi="Wingdings" w:cs="Wingdings" w:hint="default"/>
      </w:rPr>
    </w:lvl>
    <w:lvl w:ilvl="6" w:tplc="7DFCCF28">
      <w:start w:val="1"/>
      <w:numFmt w:val="bullet"/>
      <w:lvlText w:val="·"/>
      <w:lvlJc w:val="left"/>
      <w:pPr>
        <w:ind w:left="5040" w:hanging="360"/>
      </w:pPr>
      <w:rPr>
        <w:rFonts w:ascii="Symbol" w:eastAsia="Symbol" w:hAnsi="Symbol" w:cs="Symbol" w:hint="default"/>
      </w:rPr>
    </w:lvl>
    <w:lvl w:ilvl="7" w:tplc="C262B3E2">
      <w:start w:val="1"/>
      <w:numFmt w:val="bullet"/>
      <w:lvlText w:val="o"/>
      <w:lvlJc w:val="left"/>
      <w:pPr>
        <w:ind w:left="5760" w:hanging="360"/>
      </w:pPr>
      <w:rPr>
        <w:rFonts w:ascii="Courier New" w:eastAsia="Courier New" w:hAnsi="Courier New" w:cs="Courier New" w:hint="default"/>
      </w:rPr>
    </w:lvl>
    <w:lvl w:ilvl="8" w:tplc="92B0E8F2">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37450DF0"/>
    <w:multiLevelType w:val="hybridMultilevel"/>
    <w:tmpl w:val="BDB68860"/>
    <w:lvl w:ilvl="0" w:tplc="489CFBAA">
      <w:start w:val="1"/>
      <w:numFmt w:val="decimal"/>
      <w:pStyle w:val="2"/>
      <w:lvlText w:val="%1."/>
      <w:lvlJc w:val="left"/>
      <w:pPr>
        <w:tabs>
          <w:tab w:val="num" w:pos="720"/>
        </w:tabs>
        <w:ind w:left="720" w:hanging="360"/>
      </w:pPr>
    </w:lvl>
    <w:lvl w:ilvl="1" w:tplc="6C2A0286">
      <w:start w:val="1"/>
      <w:numFmt w:val="bullet"/>
      <w:lvlText w:val="o"/>
      <w:lvlJc w:val="left"/>
      <w:pPr>
        <w:ind w:left="1440" w:hanging="360"/>
      </w:pPr>
      <w:rPr>
        <w:rFonts w:ascii="Courier New" w:eastAsia="Courier New" w:hAnsi="Courier New" w:cs="Courier New" w:hint="default"/>
      </w:rPr>
    </w:lvl>
    <w:lvl w:ilvl="2" w:tplc="4FF4D4AA">
      <w:start w:val="1"/>
      <w:numFmt w:val="bullet"/>
      <w:lvlText w:val="§"/>
      <w:lvlJc w:val="left"/>
      <w:pPr>
        <w:ind w:left="2160" w:hanging="360"/>
      </w:pPr>
      <w:rPr>
        <w:rFonts w:ascii="Wingdings" w:eastAsia="Wingdings" w:hAnsi="Wingdings" w:cs="Wingdings" w:hint="default"/>
      </w:rPr>
    </w:lvl>
    <w:lvl w:ilvl="3" w:tplc="0D46A70C">
      <w:start w:val="1"/>
      <w:numFmt w:val="bullet"/>
      <w:lvlText w:val="·"/>
      <w:lvlJc w:val="left"/>
      <w:pPr>
        <w:ind w:left="2880" w:hanging="360"/>
      </w:pPr>
      <w:rPr>
        <w:rFonts w:ascii="Symbol" w:eastAsia="Symbol" w:hAnsi="Symbol" w:cs="Symbol" w:hint="default"/>
      </w:rPr>
    </w:lvl>
    <w:lvl w:ilvl="4" w:tplc="1E089BC4">
      <w:start w:val="1"/>
      <w:numFmt w:val="bullet"/>
      <w:lvlText w:val="o"/>
      <w:lvlJc w:val="left"/>
      <w:pPr>
        <w:ind w:left="3600" w:hanging="360"/>
      </w:pPr>
      <w:rPr>
        <w:rFonts w:ascii="Courier New" w:eastAsia="Courier New" w:hAnsi="Courier New" w:cs="Courier New" w:hint="default"/>
      </w:rPr>
    </w:lvl>
    <w:lvl w:ilvl="5" w:tplc="1F58E30A">
      <w:start w:val="1"/>
      <w:numFmt w:val="bullet"/>
      <w:lvlText w:val="§"/>
      <w:lvlJc w:val="left"/>
      <w:pPr>
        <w:ind w:left="4320" w:hanging="360"/>
      </w:pPr>
      <w:rPr>
        <w:rFonts w:ascii="Wingdings" w:eastAsia="Wingdings" w:hAnsi="Wingdings" w:cs="Wingdings" w:hint="default"/>
      </w:rPr>
    </w:lvl>
    <w:lvl w:ilvl="6" w:tplc="9CE6BFA2">
      <w:start w:val="1"/>
      <w:numFmt w:val="bullet"/>
      <w:lvlText w:val="·"/>
      <w:lvlJc w:val="left"/>
      <w:pPr>
        <w:ind w:left="5040" w:hanging="360"/>
      </w:pPr>
      <w:rPr>
        <w:rFonts w:ascii="Symbol" w:eastAsia="Symbol" w:hAnsi="Symbol" w:cs="Symbol" w:hint="default"/>
      </w:rPr>
    </w:lvl>
    <w:lvl w:ilvl="7" w:tplc="4F861F3E">
      <w:start w:val="1"/>
      <w:numFmt w:val="bullet"/>
      <w:lvlText w:val="o"/>
      <w:lvlJc w:val="left"/>
      <w:pPr>
        <w:ind w:left="5760" w:hanging="360"/>
      </w:pPr>
      <w:rPr>
        <w:rFonts w:ascii="Courier New" w:eastAsia="Courier New" w:hAnsi="Courier New" w:cs="Courier New" w:hint="default"/>
      </w:rPr>
    </w:lvl>
    <w:lvl w:ilvl="8" w:tplc="DA5457EC">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39913011"/>
    <w:multiLevelType w:val="hybridMultilevel"/>
    <w:tmpl w:val="80583AF2"/>
    <w:lvl w:ilvl="0" w:tplc="DE24AEAA">
      <w:start w:val="1"/>
      <w:numFmt w:val="bullet"/>
      <w:pStyle w:val="20"/>
      <w:lvlText w:val=""/>
      <w:lvlJc w:val="left"/>
      <w:pPr>
        <w:tabs>
          <w:tab w:val="num" w:pos="720"/>
        </w:tabs>
        <w:ind w:left="720" w:hanging="360"/>
      </w:pPr>
      <w:rPr>
        <w:rFonts w:ascii="Symbol" w:hAnsi="Symbol" w:hint="default"/>
      </w:rPr>
    </w:lvl>
    <w:lvl w:ilvl="1" w:tplc="57F24106">
      <w:start w:val="1"/>
      <w:numFmt w:val="bullet"/>
      <w:lvlText w:val="o"/>
      <w:lvlJc w:val="left"/>
      <w:pPr>
        <w:ind w:left="1440" w:hanging="360"/>
      </w:pPr>
      <w:rPr>
        <w:rFonts w:ascii="Courier New" w:eastAsia="Courier New" w:hAnsi="Courier New" w:cs="Courier New" w:hint="default"/>
      </w:rPr>
    </w:lvl>
    <w:lvl w:ilvl="2" w:tplc="D8FA9778">
      <w:start w:val="1"/>
      <w:numFmt w:val="bullet"/>
      <w:lvlText w:val="§"/>
      <w:lvlJc w:val="left"/>
      <w:pPr>
        <w:ind w:left="2160" w:hanging="360"/>
      </w:pPr>
      <w:rPr>
        <w:rFonts w:ascii="Wingdings" w:eastAsia="Wingdings" w:hAnsi="Wingdings" w:cs="Wingdings" w:hint="default"/>
      </w:rPr>
    </w:lvl>
    <w:lvl w:ilvl="3" w:tplc="5382F34A">
      <w:start w:val="1"/>
      <w:numFmt w:val="bullet"/>
      <w:lvlText w:val="·"/>
      <w:lvlJc w:val="left"/>
      <w:pPr>
        <w:ind w:left="2880" w:hanging="360"/>
      </w:pPr>
      <w:rPr>
        <w:rFonts w:ascii="Symbol" w:eastAsia="Symbol" w:hAnsi="Symbol" w:cs="Symbol" w:hint="default"/>
      </w:rPr>
    </w:lvl>
    <w:lvl w:ilvl="4" w:tplc="0D908A8C">
      <w:start w:val="1"/>
      <w:numFmt w:val="bullet"/>
      <w:lvlText w:val="o"/>
      <w:lvlJc w:val="left"/>
      <w:pPr>
        <w:ind w:left="3600" w:hanging="360"/>
      </w:pPr>
      <w:rPr>
        <w:rFonts w:ascii="Courier New" w:eastAsia="Courier New" w:hAnsi="Courier New" w:cs="Courier New" w:hint="default"/>
      </w:rPr>
    </w:lvl>
    <w:lvl w:ilvl="5" w:tplc="B3E4A906">
      <w:start w:val="1"/>
      <w:numFmt w:val="bullet"/>
      <w:lvlText w:val="§"/>
      <w:lvlJc w:val="left"/>
      <w:pPr>
        <w:ind w:left="4320" w:hanging="360"/>
      </w:pPr>
      <w:rPr>
        <w:rFonts w:ascii="Wingdings" w:eastAsia="Wingdings" w:hAnsi="Wingdings" w:cs="Wingdings" w:hint="default"/>
      </w:rPr>
    </w:lvl>
    <w:lvl w:ilvl="6" w:tplc="FBFCB74C">
      <w:start w:val="1"/>
      <w:numFmt w:val="bullet"/>
      <w:lvlText w:val="·"/>
      <w:lvlJc w:val="left"/>
      <w:pPr>
        <w:ind w:left="5040" w:hanging="360"/>
      </w:pPr>
      <w:rPr>
        <w:rFonts w:ascii="Symbol" w:eastAsia="Symbol" w:hAnsi="Symbol" w:cs="Symbol" w:hint="default"/>
      </w:rPr>
    </w:lvl>
    <w:lvl w:ilvl="7" w:tplc="8B581E4C">
      <w:start w:val="1"/>
      <w:numFmt w:val="bullet"/>
      <w:lvlText w:val="o"/>
      <w:lvlJc w:val="left"/>
      <w:pPr>
        <w:ind w:left="5760" w:hanging="360"/>
      </w:pPr>
      <w:rPr>
        <w:rFonts w:ascii="Courier New" w:eastAsia="Courier New" w:hAnsi="Courier New" w:cs="Courier New" w:hint="default"/>
      </w:rPr>
    </w:lvl>
    <w:lvl w:ilvl="8" w:tplc="9988788E">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40D14C70"/>
    <w:multiLevelType w:val="hybridMultilevel"/>
    <w:tmpl w:val="3B883DCA"/>
    <w:lvl w:ilvl="0" w:tplc="C2A6E9E2">
      <w:start w:val="1"/>
      <w:numFmt w:val="bullet"/>
      <w:pStyle w:val="3"/>
      <w:lvlText w:val=""/>
      <w:lvlJc w:val="left"/>
      <w:pPr>
        <w:tabs>
          <w:tab w:val="num" w:pos="1080"/>
        </w:tabs>
        <w:ind w:left="1080" w:hanging="360"/>
      </w:pPr>
      <w:rPr>
        <w:rFonts w:ascii="Symbol" w:hAnsi="Symbol" w:hint="default"/>
      </w:rPr>
    </w:lvl>
    <w:lvl w:ilvl="1" w:tplc="0862D7D8">
      <w:start w:val="1"/>
      <w:numFmt w:val="bullet"/>
      <w:lvlText w:val="o"/>
      <w:lvlJc w:val="left"/>
      <w:pPr>
        <w:ind w:left="1440" w:hanging="360"/>
      </w:pPr>
      <w:rPr>
        <w:rFonts w:ascii="Courier New" w:eastAsia="Courier New" w:hAnsi="Courier New" w:cs="Courier New" w:hint="default"/>
      </w:rPr>
    </w:lvl>
    <w:lvl w:ilvl="2" w:tplc="2FDEE4CC">
      <w:start w:val="1"/>
      <w:numFmt w:val="bullet"/>
      <w:lvlText w:val="§"/>
      <w:lvlJc w:val="left"/>
      <w:pPr>
        <w:ind w:left="2160" w:hanging="360"/>
      </w:pPr>
      <w:rPr>
        <w:rFonts w:ascii="Wingdings" w:eastAsia="Wingdings" w:hAnsi="Wingdings" w:cs="Wingdings" w:hint="default"/>
      </w:rPr>
    </w:lvl>
    <w:lvl w:ilvl="3" w:tplc="2146035C">
      <w:start w:val="1"/>
      <w:numFmt w:val="bullet"/>
      <w:lvlText w:val="·"/>
      <w:lvlJc w:val="left"/>
      <w:pPr>
        <w:ind w:left="2880" w:hanging="360"/>
      </w:pPr>
      <w:rPr>
        <w:rFonts w:ascii="Symbol" w:eastAsia="Symbol" w:hAnsi="Symbol" w:cs="Symbol" w:hint="default"/>
      </w:rPr>
    </w:lvl>
    <w:lvl w:ilvl="4" w:tplc="4DFC0E7C">
      <w:start w:val="1"/>
      <w:numFmt w:val="bullet"/>
      <w:lvlText w:val="o"/>
      <w:lvlJc w:val="left"/>
      <w:pPr>
        <w:ind w:left="3600" w:hanging="360"/>
      </w:pPr>
      <w:rPr>
        <w:rFonts w:ascii="Courier New" w:eastAsia="Courier New" w:hAnsi="Courier New" w:cs="Courier New" w:hint="default"/>
      </w:rPr>
    </w:lvl>
    <w:lvl w:ilvl="5" w:tplc="1C4A97BE">
      <w:start w:val="1"/>
      <w:numFmt w:val="bullet"/>
      <w:lvlText w:val="§"/>
      <w:lvlJc w:val="left"/>
      <w:pPr>
        <w:ind w:left="4320" w:hanging="360"/>
      </w:pPr>
      <w:rPr>
        <w:rFonts w:ascii="Wingdings" w:eastAsia="Wingdings" w:hAnsi="Wingdings" w:cs="Wingdings" w:hint="default"/>
      </w:rPr>
    </w:lvl>
    <w:lvl w:ilvl="6" w:tplc="E14CA5FA">
      <w:start w:val="1"/>
      <w:numFmt w:val="bullet"/>
      <w:lvlText w:val="·"/>
      <w:lvlJc w:val="left"/>
      <w:pPr>
        <w:ind w:left="5040" w:hanging="360"/>
      </w:pPr>
      <w:rPr>
        <w:rFonts w:ascii="Symbol" w:eastAsia="Symbol" w:hAnsi="Symbol" w:cs="Symbol" w:hint="default"/>
      </w:rPr>
    </w:lvl>
    <w:lvl w:ilvl="7" w:tplc="E4CC0B10">
      <w:start w:val="1"/>
      <w:numFmt w:val="bullet"/>
      <w:lvlText w:val="o"/>
      <w:lvlJc w:val="left"/>
      <w:pPr>
        <w:ind w:left="5760" w:hanging="360"/>
      </w:pPr>
      <w:rPr>
        <w:rFonts w:ascii="Courier New" w:eastAsia="Courier New" w:hAnsi="Courier New" w:cs="Courier New" w:hint="default"/>
      </w:rPr>
    </w:lvl>
    <w:lvl w:ilvl="8" w:tplc="B8CE3366">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51A03051"/>
    <w:multiLevelType w:val="hybridMultilevel"/>
    <w:tmpl w:val="B8B6B194"/>
    <w:lvl w:ilvl="0" w:tplc="F9909C1E">
      <w:start w:val="1"/>
      <w:numFmt w:val="bullet"/>
      <w:lvlText w:val=""/>
      <w:lvlJc w:val="left"/>
      <w:pPr>
        <w:tabs>
          <w:tab w:val="num" w:pos="1440"/>
        </w:tabs>
        <w:ind w:left="1440" w:hanging="360"/>
      </w:pPr>
      <w:rPr>
        <w:rFonts w:ascii="Symbol" w:hAnsi="Symbol" w:hint="default"/>
      </w:rPr>
    </w:lvl>
    <w:lvl w:ilvl="1" w:tplc="B8869E38">
      <w:start w:val="1"/>
      <w:numFmt w:val="bullet"/>
      <w:lvlText w:val="o"/>
      <w:lvlJc w:val="left"/>
      <w:pPr>
        <w:ind w:left="1440" w:hanging="360"/>
      </w:pPr>
      <w:rPr>
        <w:rFonts w:ascii="Courier New" w:eastAsia="Courier New" w:hAnsi="Courier New" w:cs="Courier New" w:hint="default"/>
      </w:rPr>
    </w:lvl>
    <w:lvl w:ilvl="2" w:tplc="4DF66DBE">
      <w:start w:val="1"/>
      <w:numFmt w:val="bullet"/>
      <w:lvlText w:val="§"/>
      <w:lvlJc w:val="left"/>
      <w:pPr>
        <w:ind w:left="2160" w:hanging="360"/>
      </w:pPr>
      <w:rPr>
        <w:rFonts w:ascii="Wingdings" w:eastAsia="Wingdings" w:hAnsi="Wingdings" w:cs="Wingdings" w:hint="default"/>
      </w:rPr>
    </w:lvl>
    <w:lvl w:ilvl="3" w:tplc="AF9EB342">
      <w:start w:val="1"/>
      <w:numFmt w:val="bullet"/>
      <w:lvlText w:val="·"/>
      <w:lvlJc w:val="left"/>
      <w:pPr>
        <w:ind w:left="2880" w:hanging="360"/>
      </w:pPr>
      <w:rPr>
        <w:rFonts w:ascii="Symbol" w:eastAsia="Symbol" w:hAnsi="Symbol" w:cs="Symbol" w:hint="default"/>
      </w:rPr>
    </w:lvl>
    <w:lvl w:ilvl="4" w:tplc="6CBA75C4">
      <w:start w:val="1"/>
      <w:numFmt w:val="bullet"/>
      <w:lvlText w:val="o"/>
      <w:lvlJc w:val="left"/>
      <w:pPr>
        <w:ind w:left="3600" w:hanging="360"/>
      </w:pPr>
      <w:rPr>
        <w:rFonts w:ascii="Courier New" w:eastAsia="Courier New" w:hAnsi="Courier New" w:cs="Courier New" w:hint="default"/>
      </w:rPr>
    </w:lvl>
    <w:lvl w:ilvl="5" w:tplc="4EF0B280">
      <w:start w:val="1"/>
      <w:numFmt w:val="bullet"/>
      <w:lvlText w:val="§"/>
      <w:lvlJc w:val="left"/>
      <w:pPr>
        <w:ind w:left="4320" w:hanging="360"/>
      </w:pPr>
      <w:rPr>
        <w:rFonts w:ascii="Wingdings" w:eastAsia="Wingdings" w:hAnsi="Wingdings" w:cs="Wingdings" w:hint="default"/>
      </w:rPr>
    </w:lvl>
    <w:lvl w:ilvl="6" w:tplc="73261196">
      <w:start w:val="1"/>
      <w:numFmt w:val="bullet"/>
      <w:lvlText w:val="·"/>
      <w:lvlJc w:val="left"/>
      <w:pPr>
        <w:ind w:left="5040" w:hanging="360"/>
      </w:pPr>
      <w:rPr>
        <w:rFonts w:ascii="Symbol" w:eastAsia="Symbol" w:hAnsi="Symbol" w:cs="Symbol" w:hint="default"/>
      </w:rPr>
    </w:lvl>
    <w:lvl w:ilvl="7" w:tplc="E3FA8772">
      <w:start w:val="1"/>
      <w:numFmt w:val="bullet"/>
      <w:lvlText w:val="o"/>
      <w:lvlJc w:val="left"/>
      <w:pPr>
        <w:ind w:left="5760" w:hanging="360"/>
      </w:pPr>
      <w:rPr>
        <w:rFonts w:ascii="Courier New" w:eastAsia="Courier New" w:hAnsi="Courier New" w:cs="Courier New" w:hint="default"/>
      </w:rPr>
    </w:lvl>
    <w:lvl w:ilvl="8" w:tplc="B55072DC">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5CDA6C47"/>
    <w:multiLevelType w:val="hybridMultilevel"/>
    <w:tmpl w:val="7CD22898"/>
    <w:lvl w:ilvl="0" w:tplc="A934AC3C">
      <w:start w:val="1"/>
      <w:numFmt w:val="decimal"/>
      <w:lvlText w:val="%1."/>
      <w:lvlJc w:val="left"/>
      <w:pPr>
        <w:tabs>
          <w:tab w:val="num" w:pos="1440"/>
        </w:tabs>
        <w:ind w:left="1440" w:hanging="360"/>
      </w:pPr>
    </w:lvl>
    <w:lvl w:ilvl="1" w:tplc="08FADCA6">
      <w:start w:val="1"/>
      <w:numFmt w:val="bullet"/>
      <w:lvlText w:val="o"/>
      <w:lvlJc w:val="left"/>
      <w:pPr>
        <w:ind w:left="1440" w:hanging="360"/>
      </w:pPr>
      <w:rPr>
        <w:rFonts w:ascii="Courier New" w:eastAsia="Courier New" w:hAnsi="Courier New" w:cs="Courier New" w:hint="default"/>
      </w:rPr>
    </w:lvl>
    <w:lvl w:ilvl="2" w:tplc="7B48FE52">
      <w:start w:val="1"/>
      <w:numFmt w:val="bullet"/>
      <w:lvlText w:val="§"/>
      <w:lvlJc w:val="left"/>
      <w:pPr>
        <w:ind w:left="2160" w:hanging="360"/>
      </w:pPr>
      <w:rPr>
        <w:rFonts w:ascii="Wingdings" w:eastAsia="Wingdings" w:hAnsi="Wingdings" w:cs="Wingdings" w:hint="default"/>
      </w:rPr>
    </w:lvl>
    <w:lvl w:ilvl="3" w:tplc="2E409220">
      <w:start w:val="1"/>
      <w:numFmt w:val="bullet"/>
      <w:lvlText w:val="·"/>
      <w:lvlJc w:val="left"/>
      <w:pPr>
        <w:ind w:left="2880" w:hanging="360"/>
      </w:pPr>
      <w:rPr>
        <w:rFonts w:ascii="Symbol" w:eastAsia="Symbol" w:hAnsi="Symbol" w:cs="Symbol" w:hint="default"/>
      </w:rPr>
    </w:lvl>
    <w:lvl w:ilvl="4" w:tplc="5D18B872">
      <w:start w:val="1"/>
      <w:numFmt w:val="bullet"/>
      <w:lvlText w:val="o"/>
      <w:lvlJc w:val="left"/>
      <w:pPr>
        <w:ind w:left="3600" w:hanging="360"/>
      </w:pPr>
      <w:rPr>
        <w:rFonts w:ascii="Courier New" w:eastAsia="Courier New" w:hAnsi="Courier New" w:cs="Courier New" w:hint="default"/>
      </w:rPr>
    </w:lvl>
    <w:lvl w:ilvl="5" w:tplc="5E067EE6">
      <w:start w:val="1"/>
      <w:numFmt w:val="bullet"/>
      <w:lvlText w:val="§"/>
      <w:lvlJc w:val="left"/>
      <w:pPr>
        <w:ind w:left="4320" w:hanging="360"/>
      </w:pPr>
      <w:rPr>
        <w:rFonts w:ascii="Wingdings" w:eastAsia="Wingdings" w:hAnsi="Wingdings" w:cs="Wingdings" w:hint="default"/>
      </w:rPr>
    </w:lvl>
    <w:lvl w:ilvl="6" w:tplc="CB82EE0C">
      <w:start w:val="1"/>
      <w:numFmt w:val="bullet"/>
      <w:lvlText w:val="·"/>
      <w:lvlJc w:val="left"/>
      <w:pPr>
        <w:ind w:left="5040" w:hanging="360"/>
      </w:pPr>
      <w:rPr>
        <w:rFonts w:ascii="Symbol" w:eastAsia="Symbol" w:hAnsi="Symbol" w:cs="Symbol" w:hint="default"/>
      </w:rPr>
    </w:lvl>
    <w:lvl w:ilvl="7" w:tplc="F29C1268">
      <w:start w:val="1"/>
      <w:numFmt w:val="bullet"/>
      <w:lvlText w:val="o"/>
      <w:lvlJc w:val="left"/>
      <w:pPr>
        <w:ind w:left="5760" w:hanging="360"/>
      </w:pPr>
      <w:rPr>
        <w:rFonts w:ascii="Courier New" w:eastAsia="Courier New" w:hAnsi="Courier New" w:cs="Courier New" w:hint="default"/>
      </w:rPr>
    </w:lvl>
    <w:lvl w:ilvl="8" w:tplc="9154EC78">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6158476F"/>
    <w:multiLevelType w:val="hybridMultilevel"/>
    <w:tmpl w:val="661820B6"/>
    <w:lvl w:ilvl="0" w:tplc="6428C978">
      <w:start w:val="1"/>
      <w:numFmt w:val="decimal"/>
      <w:pStyle w:val="30"/>
      <w:lvlText w:val="%1."/>
      <w:lvlJc w:val="left"/>
      <w:pPr>
        <w:tabs>
          <w:tab w:val="num" w:pos="1080"/>
        </w:tabs>
        <w:ind w:left="1080" w:hanging="360"/>
      </w:pPr>
    </w:lvl>
    <w:lvl w:ilvl="1" w:tplc="AEB4CF34">
      <w:start w:val="1"/>
      <w:numFmt w:val="bullet"/>
      <w:lvlText w:val="o"/>
      <w:lvlJc w:val="left"/>
      <w:pPr>
        <w:ind w:left="1440" w:hanging="360"/>
      </w:pPr>
      <w:rPr>
        <w:rFonts w:ascii="Courier New" w:eastAsia="Courier New" w:hAnsi="Courier New" w:cs="Courier New" w:hint="default"/>
      </w:rPr>
    </w:lvl>
    <w:lvl w:ilvl="2" w:tplc="9B3A8A64">
      <w:start w:val="1"/>
      <w:numFmt w:val="bullet"/>
      <w:lvlText w:val="§"/>
      <w:lvlJc w:val="left"/>
      <w:pPr>
        <w:ind w:left="2160" w:hanging="360"/>
      </w:pPr>
      <w:rPr>
        <w:rFonts w:ascii="Wingdings" w:eastAsia="Wingdings" w:hAnsi="Wingdings" w:cs="Wingdings" w:hint="default"/>
      </w:rPr>
    </w:lvl>
    <w:lvl w:ilvl="3" w:tplc="B77A520A">
      <w:start w:val="1"/>
      <w:numFmt w:val="bullet"/>
      <w:lvlText w:val="·"/>
      <w:lvlJc w:val="left"/>
      <w:pPr>
        <w:ind w:left="2880" w:hanging="360"/>
      </w:pPr>
      <w:rPr>
        <w:rFonts w:ascii="Symbol" w:eastAsia="Symbol" w:hAnsi="Symbol" w:cs="Symbol" w:hint="default"/>
      </w:rPr>
    </w:lvl>
    <w:lvl w:ilvl="4" w:tplc="D2408D9E">
      <w:start w:val="1"/>
      <w:numFmt w:val="bullet"/>
      <w:lvlText w:val="o"/>
      <w:lvlJc w:val="left"/>
      <w:pPr>
        <w:ind w:left="3600" w:hanging="360"/>
      </w:pPr>
      <w:rPr>
        <w:rFonts w:ascii="Courier New" w:eastAsia="Courier New" w:hAnsi="Courier New" w:cs="Courier New" w:hint="default"/>
      </w:rPr>
    </w:lvl>
    <w:lvl w:ilvl="5" w:tplc="8534831E">
      <w:start w:val="1"/>
      <w:numFmt w:val="bullet"/>
      <w:lvlText w:val="§"/>
      <w:lvlJc w:val="left"/>
      <w:pPr>
        <w:ind w:left="4320" w:hanging="360"/>
      </w:pPr>
      <w:rPr>
        <w:rFonts w:ascii="Wingdings" w:eastAsia="Wingdings" w:hAnsi="Wingdings" w:cs="Wingdings" w:hint="default"/>
      </w:rPr>
    </w:lvl>
    <w:lvl w:ilvl="6" w:tplc="8CB472F6">
      <w:start w:val="1"/>
      <w:numFmt w:val="bullet"/>
      <w:lvlText w:val="·"/>
      <w:lvlJc w:val="left"/>
      <w:pPr>
        <w:ind w:left="5040" w:hanging="360"/>
      </w:pPr>
      <w:rPr>
        <w:rFonts w:ascii="Symbol" w:eastAsia="Symbol" w:hAnsi="Symbol" w:cs="Symbol" w:hint="default"/>
      </w:rPr>
    </w:lvl>
    <w:lvl w:ilvl="7" w:tplc="A14C4E52">
      <w:start w:val="1"/>
      <w:numFmt w:val="bullet"/>
      <w:lvlText w:val="o"/>
      <w:lvlJc w:val="left"/>
      <w:pPr>
        <w:ind w:left="5760" w:hanging="360"/>
      </w:pPr>
      <w:rPr>
        <w:rFonts w:ascii="Courier New" w:eastAsia="Courier New" w:hAnsi="Courier New" w:cs="Courier New" w:hint="default"/>
      </w:rPr>
    </w:lvl>
    <w:lvl w:ilvl="8" w:tplc="01CC5E04">
      <w:start w:val="1"/>
      <w:numFmt w:val="bullet"/>
      <w:lvlText w:val="§"/>
      <w:lvlJc w:val="left"/>
      <w:pPr>
        <w:ind w:left="6480" w:hanging="360"/>
      </w:pPr>
      <w:rPr>
        <w:rFonts w:ascii="Wingdings" w:eastAsia="Wingdings" w:hAnsi="Wingdings" w:cs="Wingdings" w:hint="default"/>
      </w:rPr>
    </w:lvl>
  </w:abstractNum>
  <w:num w:numId="1" w16cid:durableId="127940874">
    <w:abstractNumId w:val="2"/>
  </w:num>
  <w:num w:numId="2" w16cid:durableId="936061878">
    <w:abstractNumId w:val="4"/>
  </w:num>
  <w:num w:numId="3" w16cid:durableId="922492022">
    <w:abstractNumId w:val="5"/>
  </w:num>
  <w:num w:numId="4" w16cid:durableId="1256090913">
    <w:abstractNumId w:val="6"/>
  </w:num>
  <w:num w:numId="5" w16cid:durableId="1478499492">
    <w:abstractNumId w:val="0"/>
  </w:num>
  <w:num w:numId="6" w16cid:durableId="2030720455">
    <w:abstractNumId w:val="3"/>
  </w:num>
  <w:num w:numId="7" w16cid:durableId="2028169323">
    <w:abstractNumId w:val="8"/>
  </w:num>
  <w:num w:numId="8" w16cid:durableId="1225026054">
    <w:abstractNumId w:val="7"/>
  </w:num>
  <w:num w:numId="9" w16cid:durableId="4841993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44CC"/>
    <w:rsid w:val="003A2A34"/>
    <w:rsid w:val="006667AD"/>
    <w:rsid w:val="00764B22"/>
    <w:rsid w:val="007E3649"/>
    <w:rsid w:val="00982086"/>
    <w:rsid w:val="009A1D65"/>
    <w:rsid w:val="00AA44CC"/>
    <w:rsid w:val="00E501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DF7D8"/>
  <w15:docId w15:val="{74B726CA-F527-4984-A6A6-23CBF977E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Pr>
      <w:rFonts w:ascii="Times New Roman" w:eastAsia="Times New Roman" w:hAnsi="Times New Roman"/>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1Char">
    <w:name w:val="Heading 1 Char"/>
    <w:basedOn w:val="a2"/>
    <w:uiPriority w:val="9"/>
    <w:rPr>
      <w:rFonts w:ascii="Liberation Sans" w:eastAsia="Liberation Sans" w:hAnsi="Liberation Sans" w:cs="Liberation Sans"/>
      <w:sz w:val="40"/>
      <w:szCs w:val="40"/>
    </w:rPr>
  </w:style>
  <w:style w:type="character" w:customStyle="1" w:styleId="Heading2Char">
    <w:name w:val="Heading 2 Char"/>
    <w:basedOn w:val="a2"/>
    <w:uiPriority w:val="9"/>
    <w:rPr>
      <w:rFonts w:ascii="Liberation Sans" w:eastAsia="Liberation Sans" w:hAnsi="Liberation Sans" w:cs="Liberation Sans"/>
      <w:sz w:val="34"/>
    </w:rPr>
  </w:style>
  <w:style w:type="character" w:customStyle="1" w:styleId="Heading3Char">
    <w:name w:val="Heading 3 Char"/>
    <w:basedOn w:val="a2"/>
    <w:uiPriority w:val="9"/>
    <w:rPr>
      <w:rFonts w:ascii="Liberation Sans" w:eastAsia="Liberation Sans" w:hAnsi="Liberation Sans" w:cs="Liberation Sans"/>
      <w:sz w:val="30"/>
      <w:szCs w:val="30"/>
    </w:rPr>
  </w:style>
  <w:style w:type="character" w:customStyle="1" w:styleId="Heading4Char">
    <w:name w:val="Heading 4 Char"/>
    <w:basedOn w:val="a2"/>
    <w:uiPriority w:val="9"/>
    <w:rPr>
      <w:rFonts w:ascii="Liberation Sans" w:eastAsia="Liberation Sans" w:hAnsi="Liberation Sans" w:cs="Liberation Sans"/>
      <w:b/>
      <w:bCs/>
      <w:sz w:val="26"/>
      <w:szCs w:val="26"/>
    </w:rPr>
  </w:style>
  <w:style w:type="character" w:customStyle="1" w:styleId="Heading5Char">
    <w:name w:val="Heading 5 Char"/>
    <w:basedOn w:val="a2"/>
    <w:uiPriority w:val="9"/>
    <w:rPr>
      <w:rFonts w:ascii="Liberation Sans" w:eastAsia="Liberation Sans" w:hAnsi="Liberation Sans" w:cs="Liberation Sans"/>
      <w:b/>
      <w:bCs/>
      <w:sz w:val="24"/>
      <w:szCs w:val="24"/>
    </w:rPr>
  </w:style>
  <w:style w:type="character" w:customStyle="1" w:styleId="Heading6Char">
    <w:name w:val="Heading 6 Char"/>
    <w:basedOn w:val="a2"/>
    <w:uiPriority w:val="9"/>
    <w:rPr>
      <w:rFonts w:ascii="Liberation Sans" w:eastAsia="Liberation Sans" w:hAnsi="Liberation Sans" w:cs="Liberation Sans"/>
      <w:b/>
      <w:bCs/>
      <w:sz w:val="22"/>
      <w:szCs w:val="22"/>
    </w:rPr>
  </w:style>
  <w:style w:type="character" w:customStyle="1" w:styleId="Heading7Char">
    <w:name w:val="Heading 7 Char"/>
    <w:basedOn w:val="a2"/>
    <w:uiPriority w:val="9"/>
    <w:rPr>
      <w:rFonts w:ascii="Liberation Sans" w:eastAsia="Liberation Sans" w:hAnsi="Liberation Sans" w:cs="Liberation Sans"/>
      <w:b/>
      <w:bCs/>
      <w:i/>
      <w:iCs/>
      <w:sz w:val="22"/>
      <w:szCs w:val="22"/>
    </w:rPr>
  </w:style>
  <w:style w:type="character" w:customStyle="1" w:styleId="Heading8Char">
    <w:name w:val="Heading 8 Char"/>
    <w:basedOn w:val="a2"/>
    <w:uiPriority w:val="9"/>
    <w:rPr>
      <w:rFonts w:ascii="Liberation Sans" w:eastAsia="Liberation Sans" w:hAnsi="Liberation Sans" w:cs="Liberation Sans"/>
      <w:i/>
      <w:iCs/>
      <w:sz w:val="22"/>
      <w:szCs w:val="22"/>
    </w:rPr>
  </w:style>
  <w:style w:type="character" w:customStyle="1" w:styleId="Heading9Char">
    <w:name w:val="Heading 9 Char"/>
    <w:basedOn w:val="a2"/>
    <w:uiPriority w:val="9"/>
    <w:rPr>
      <w:rFonts w:ascii="Liberation Sans" w:eastAsia="Liberation Sans" w:hAnsi="Liberation Sans" w:cs="Liberation Sans"/>
      <w:i/>
      <w:iCs/>
      <w:sz w:val="21"/>
      <w:szCs w:val="21"/>
    </w:rPr>
  </w:style>
  <w:style w:type="character" w:customStyle="1" w:styleId="TitleChar">
    <w:name w:val="Title Char"/>
    <w:basedOn w:val="a2"/>
    <w:uiPriority w:val="10"/>
    <w:rPr>
      <w:sz w:val="48"/>
      <w:szCs w:val="48"/>
    </w:rPr>
  </w:style>
  <w:style w:type="character" w:customStyle="1" w:styleId="SubtitleChar">
    <w:name w:val="Subtitle Char"/>
    <w:basedOn w:val="a2"/>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2"/>
    <w:uiPriority w:val="99"/>
  </w:style>
  <w:style w:type="character" w:customStyle="1" w:styleId="FooterChar">
    <w:name w:val="Footer Char"/>
    <w:basedOn w:val="a2"/>
    <w:uiPriority w:val="99"/>
  </w:style>
  <w:style w:type="character" w:customStyle="1" w:styleId="a5">
    <w:name w:val="Название объекта Знак"/>
    <w:basedOn w:val="a2"/>
    <w:link w:val="a6"/>
    <w:uiPriority w:val="35"/>
    <w:rPr>
      <w:b/>
      <w:bCs/>
      <w:color w:val="4F81BD" w:themeColor="accent1"/>
      <w:sz w:val="18"/>
      <w:szCs w:val="18"/>
    </w:rPr>
  </w:style>
  <w:style w:type="table" w:customStyle="1" w:styleId="TableGridLight">
    <w:name w:val="Table Grid Light"/>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3"/>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3">
    <w:name w:val="Plain Table 3"/>
    <w:basedOn w:val="a3"/>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3"/>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3"/>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3"/>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3"/>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3"/>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3"/>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3"/>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3"/>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3"/>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3"/>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3"/>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3"/>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3"/>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3"/>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3"/>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3"/>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3"/>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3"/>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3"/>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3"/>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3"/>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3"/>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3"/>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3"/>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3"/>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3"/>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3"/>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3"/>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3"/>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3"/>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3"/>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3"/>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3"/>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3"/>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3"/>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3"/>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3"/>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3"/>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3"/>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3"/>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3"/>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3"/>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3"/>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3"/>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3"/>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3"/>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3"/>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3"/>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3"/>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3"/>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3"/>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3"/>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3"/>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3"/>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3"/>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3"/>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3"/>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3"/>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3"/>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3"/>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3"/>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3"/>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3"/>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3"/>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3"/>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3"/>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3"/>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3"/>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3"/>
    <w:uiPriority w:val="99"/>
    <w:pPr>
      <w:spacing w:after="0" w:line="240" w:lineRule="auto"/>
    </w:pPr>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3"/>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3"/>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3"/>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3"/>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3"/>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3"/>
    <w:uiPriority w:val="99"/>
    <w:pPr>
      <w:spacing w:after="0" w:line="240" w:lineRule="auto"/>
    </w:pPr>
    <w:rPr>
      <w:color w:val="404040"/>
      <w:sz w:val="20"/>
      <w:szCs w:val="20"/>
      <w:lang w:val="ru-RU"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pPr>
      <w:spacing w:after="0" w:line="240" w:lineRule="auto"/>
    </w:pPr>
    <w:rPr>
      <w:color w:val="404040"/>
      <w:sz w:val="20"/>
      <w:szCs w:val="20"/>
      <w:lang w:val="ru-RU"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3"/>
    <w:uiPriority w:val="99"/>
    <w:pPr>
      <w:spacing w:after="0" w:line="240" w:lineRule="auto"/>
    </w:pPr>
    <w:rPr>
      <w:color w:val="404040"/>
      <w:sz w:val="20"/>
      <w:szCs w:val="20"/>
      <w:lang w:val="ru-RU"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3"/>
    <w:uiPriority w:val="99"/>
    <w:pPr>
      <w:spacing w:after="0" w:line="240" w:lineRule="auto"/>
    </w:pPr>
    <w:rPr>
      <w:color w:val="404040"/>
      <w:sz w:val="20"/>
      <w:szCs w:val="20"/>
      <w:lang w:val="ru-RU"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3"/>
    <w:uiPriority w:val="99"/>
    <w:pPr>
      <w:spacing w:after="0" w:line="240" w:lineRule="auto"/>
    </w:pPr>
    <w:rPr>
      <w:color w:val="404040"/>
      <w:sz w:val="20"/>
      <w:szCs w:val="20"/>
      <w:lang w:val="ru-RU"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3"/>
    <w:uiPriority w:val="99"/>
    <w:pPr>
      <w:spacing w:after="0" w:line="240" w:lineRule="auto"/>
    </w:pPr>
    <w:rPr>
      <w:color w:val="404040"/>
      <w:sz w:val="20"/>
      <w:szCs w:val="20"/>
      <w:lang w:val="ru-RU"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3"/>
    <w:uiPriority w:val="99"/>
    <w:pPr>
      <w:spacing w:after="0" w:line="240" w:lineRule="auto"/>
    </w:pPr>
    <w:rPr>
      <w:color w:val="404040"/>
      <w:sz w:val="20"/>
      <w:szCs w:val="20"/>
      <w:lang w:val="ru-RU"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3"/>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3"/>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3"/>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3"/>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3"/>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3"/>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7">
    <w:name w:val="Hyperlink"/>
    <w:uiPriority w:val="99"/>
    <w:unhideWhenUsed/>
    <w:rPr>
      <w:color w:val="0000FF" w:themeColor="hyperlink"/>
      <w:u w:val="single"/>
    </w:rPr>
  </w:style>
  <w:style w:type="paragraph" w:styleId="a8">
    <w:name w:val="footnote text"/>
    <w:basedOn w:val="a1"/>
    <w:link w:val="a9"/>
    <w:uiPriority w:val="99"/>
    <w:semiHidden/>
    <w:unhideWhenUsed/>
    <w:pPr>
      <w:spacing w:after="40" w:line="240" w:lineRule="auto"/>
    </w:pPr>
    <w:rPr>
      <w:sz w:val="18"/>
    </w:rPr>
  </w:style>
  <w:style w:type="character" w:customStyle="1" w:styleId="a9">
    <w:name w:val="Текст сноски Знак"/>
    <w:link w:val="a8"/>
    <w:uiPriority w:val="99"/>
    <w:rPr>
      <w:sz w:val="18"/>
    </w:rPr>
  </w:style>
  <w:style w:type="character" w:styleId="aa">
    <w:name w:val="footnote reference"/>
    <w:basedOn w:val="a2"/>
    <w:uiPriority w:val="99"/>
    <w:unhideWhenUsed/>
    <w:rPr>
      <w:vertAlign w:val="superscript"/>
    </w:rPr>
  </w:style>
  <w:style w:type="paragraph" w:styleId="ab">
    <w:name w:val="endnote text"/>
    <w:basedOn w:val="a1"/>
    <w:link w:val="ac"/>
    <w:uiPriority w:val="99"/>
    <w:semiHidden/>
    <w:unhideWhenUsed/>
    <w:pPr>
      <w:spacing w:after="0" w:line="240" w:lineRule="auto"/>
    </w:pPr>
    <w:rPr>
      <w:sz w:val="20"/>
    </w:rPr>
  </w:style>
  <w:style w:type="character" w:customStyle="1" w:styleId="ac">
    <w:name w:val="Текст концевой сноски Знак"/>
    <w:link w:val="ab"/>
    <w:uiPriority w:val="99"/>
    <w:rPr>
      <w:sz w:val="20"/>
    </w:rPr>
  </w:style>
  <w:style w:type="character" w:styleId="ad">
    <w:name w:val="endnote reference"/>
    <w:basedOn w:val="a2"/>
    <w:uiPriority w:val="99"/>
    <w:semiHidden/>
    <w:unhideWhenUsed/>
    <w:rPr>
      <w:vertAlign w:val="superscript"/>
    </w:rPr>
  </w:style>
  <w:style w:type="paragraph" w:styleId="12">
    <w:name w:val="toc 1"/>
    <w:basedOn w:val="a1"/>
    <w:next w:val="a1"/>
    <w:uiPriority w:val="39"/>
    <w:unhideWhenUsed/>
    <w:pPr>
      <w:spacing w:after="57"/>
    </w:pPr>
  </w:style>
  <w:style w:type="paragraph" w:styleId="24">
    <w:name w:val="toc 2"/>
    <w:basedOn w:val="a1"/>
    <w:next w:val="a1"/>
    <w:uiPriority w:val="39"/>
    <w:unhideWhenUsed/>
    <w:pPr>
      <w:spacing w:after="57"/>
      <w:ind w:left="283"/>
    </w:pPr>
  </w:style>
  <w:style w:type="paragraph" w:styleId="34">
    <w:name w:val="toc 3"/>
    <w:basedOn w:val="a1"/>
    <w:next w:val="a1"/>
    <w:uiPriority w:val="39"/>
    <w:unhideWhenUsed/>
    <w:pPr>
      <w:spacing w:after="57"/>
      <w:ind w:left="567"/>
    </w:pPr>
  </w:style>
  <w:style w:type="paragraph" w:styleId="42">
    <w:name w:val="toc 4"/>
    <w:basedOn w:val="a1"/>
    <w:next w:val="a1"/>
    <w:uiPriority w:val="39"/>
    <w:unhideWhenUsed/>
    <w:pPr>
      <w:spacing w:after="57"/>
      <w:ind w:left="850"/>
    </w:pPr>
  </w:style>
  <w:style w:type="paragraph" w:styleId="52">
    <w:name w:val="toc 5"/>
    <w:basedOn w:val="a1"/>
    <w:next w:val="a1"/>
    <w:uiPriority w:val="39"/>
    <w:unhideWhenUsed/>
    <w:pPr>
      <w:spacing w:after="57"/>
      <w:ind w:left="1134"/>
    </w:pPr>
  </w:style>
  <w:style w:type="paragraph" w:styleId="61">
    <w:name w:val="toc 6"/>
    <w:basedOn w:val="a1"/>
    <w:next w:val="a1"/>
    <w:uiPriority w:val="39"/>
    <w:unhideWhenUsed/>
    <w:pPr>
      <w:spacing w:after="57"/>
      <w:ind w:left="1417"/>
    </w:pPr>
  </w:style>
  <w:style w:type="paragraph" w:styleId="71">
    <w:name w:val="toc 7"/>
    <w:basedOn w:val="a1"/>
    <w:next w:val="a1"/>
    <w:uiPriority w:val="39"/>
    <w:unhideWhenUsed/>
    <w:pPr>
      <w:spacing w:after="57"/>
      <w:ind w:left="1701"/>
    </w:pPr>
  </w:style>
  <w:style w:type="paragraph" w:styleId="81">
    <w:name w:val="toc 8"/>
    <w:basedOn w:val="a1"/>
    <w:next w:val="a1"/>
    <w:uiPriority w:val="39"/>
    <w:unhideWhenUsed/>
    <w:pPr>
      <w:spacing w:after="57"/>
      <w:ind w:left="1984"/>
    </w:pPr>
  </w:style>
  <w:style w:type="paragraph" w:styleId="91">
    <w:name w:val="toc 9"/>
    <w:basedOn w:val="a1"/>
    <w:next w:val="a1"/>
    <w:uiPriority w:val="39"/>
    <w:unhideWhenUsed/>
    <w:pPr>
      <w:spacing w:after="57"/>
      <w:ind w:left="2268"/>
    </w:pPr>
  </w:style>
  <w:style w:type="paragraph" w:styleId="ae">
    <w:name w:val="table of figures"/>
    <w:basedOn w:val="a1"/>
    <w:next w:val="a1"/>
    <w:uiPriority w:val="99"/>
    <w:unhideWhenUsed/>
    <w:pPr>
      <w:spacing w:after="0"/>
    </w:pPr>
  </w:style>
  <w:style w:type="paragraph" w:styleId="af">
    <w:name w:val="header"/>
    <w:basedOn w:val="a1"/>
    <w:link w:val="af0"/>
    <w:uiPriority w:val="99"/>
    <w:unhideWhenUsed/>
    <w:pPr>
      <w:tabs>
        <w:tab w:val="center" w:pos="4680"/>
        <w:tab w:val="right" w:pos="9360"/>
      </w:tabs>
      <w:spacing w:after="0" w:line="240" w:lineRule="auto"/>
    </w:pPr>
  </w:style>
  <w:style w:type="character" w:customStyle="1" w:styleId="af0">
    <w:name w:val="Верхний колонтитул Знак"/>
    <w:basedOn w:val="a2"/>
    <w:link w:val="af"/>
    <w:uiPriority w:val="99"/>
  </w:style>
  <w:style w:type="paragraph" w:styleId="af1">
    <w:name w:val="footer"/>
    <w:basedOn w:val="a1"/>
    <w:link w:val="af2"/>
    <w:uiPriority w:val="99"/>
    <w:unhideWhenUsed/>
    <w:pPr>
      <w:tabs>
        <w:tab w:val="center" w:pos="4680"/>
        <w:tab w:val="right" w:pos="9360"/>
      </w:tabs>
      <w:spacing w:after="0" w:line="240" w:lineRule="auto"/>
    </w:pPr>
  </w:style>
  <w:style w:type="character" w:customStyle="1" w:styleId="af2">
    <w:name w:val="Нижний колонтитул Знак"/>
    <w:basedOn w:val="a2"/>
    <w:link w:val="af1"/>
    <w:uiPriority w:val="99"/>
  </w:style>
  <w:style w:type="paragraph" w:styleId="af3">
    <w:name w:val="No Spacing"/>
    <w:uiPriority w:val="1"/>
    <w:qFormat/>
    <w:pPr>
      <w:spacing w:after="0" w:line="240" w:lineRule="auto"/>
    </w:pPr>
  </w:style>
  <w:style w:type="character" w:customStyle="1" w:styleId="10">
    <w:name w:val="Заголовок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paragraph" w:styleId="af4">
    <w:name w:val="Title"/>
    <w:basedOn w:val="a1"/>
    <w:next w:val="a1"/>
    <w:link w:val="af5"/>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af5">
    <w:name w:val="Заголовок Знак"/>
    <w:basedOn w:val="a2"/>
    <w:link w:val="af4"/>
    <w:uiPriority w:val="10"/>
    <w:rPr>
      <w:rFonts w:asciiTheme="majorHAnsi" w:eastAsiaTheme="majorEastAsia" w:hAnsiTheme="majorHAnsi" w:cstheme="majorBidi"/>
      <w:color w:val="17365D" w:themeColor="text2" w:themeShade="BF"/>
      <w:spacing w:val="5"/>
      <w:sz w:val="52"/>
      <w:szCs w:val="52"/>
    </w:rPr>
  </w:style>
  <w:style w:type="paragraph" w:styleId="af6">
    <w:name w:val="Subtitle"/>
    <w:basedOn w:val="a1"/>
    <w:next w:val="a1"/>
    <w:link w:val="af7"/>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7">
    <w:name w:val="Подзаголовок Знак"/>
    <w:basedOn w:val="a2"/>
    <w:link w:val="af6"/>
    <w:uiPriority w:val="11"/>
    <w:rPr>
      <w:rFonts w:asciiTheme="majorHAnsi" w:eastAsiaTheme="majorEastAsia" w:hAnsiTheme="majorHAnsi" w:cstheme="majorBidi"/>
      <w:i/>
      <w:iCs/>
      <w:color w:val="4F81BD" w:themeColor="accent1"/>
      <w:spacing w:val="15"/>
      <w:sz w:val="24"/>
      <w:szCs w:val="24"/>
    </w:rPr>
  </w:style>
  <w:style w:type="paragraph" w:styleId="af8">
    <w:name w:val="List Paragraph"/>
    <w:basedOn w:val="a1"/>
    <w:uiPriority w:val="34"/>
    <w:qFormat/>
    <w:pPr>
      <w:ind w:left="720"/>
      <w:contextualSpacing/>
    </w:pPr>
  </w:style>
  <w:style w:type="paragraph" w:styleId="af9">
    <w:name w:val="Body Text"/>
    <w:basedOn w:val="a1"/>
    <w:link w:val="afa"/>
    <w:uiPriority w:val="99"/>
    <w:unhideWhenUsed/>
    <w:pPr>
      <w:spacing w:after="120"/>
    </w:pPr>
  </w:style>
  <w:style w:type="character" w:customStyle="1" w:styleId="afa">
    <w:name w:val="Основной текст Знак"/>
    <w:basedOn w:val="a2"/>
    <w:link w:val="af9"/>
    <w:uiPriority w:val="99"/>
  </w:style>
  <w:style w:type="paragraph" w:styleId="25">
    <w:name w:val="Body Text 2"/>
    <w:basedOn w:val="a1"/>
    <w:link w:val="26"/>
    <w:uiPriority w:val="99"/>
    <w:unhideWhenUsed/>
    <w:pPr>
      <w:spacing w:after="120" w:line="480" w:lineRule="auto"/>
    </w:pPr>
  </w:style>
  <w:style w:type="character" w:customStyle="1" w:styleId="26">
    <w:name w:val="Основной текст 2 Знак"/>
    <w:basedOn w:val="a2"/>
    <w:link w:val="25"/>
    <w:uiPriority w:val="99"/>
  </w:style>
  <w:style w:type="paragraph" w:styleId="35">
    <w:name w:val="Body Text 3"/>
    <w:basedOn w:val="a1"/>
    <w:link w:val="36"/>
    <w:uiPriority w:val="99"/>
    <w:unhideWhenUsed/>
    <w:pPr>
      <w:spacing w:after="120"/>
    </w:pPr>
    <w:rPr>
      <w:sz w:val="16"/>
      <w:szCs w:val="16"/>
    </w:rPr>
  </w:style>
  <w:style w:type="character" w:customStyle="1" w:styleId="36">
    <w:name w:val="Основной текст 3 Знак"/>
    <w:basedOn w:val="a2"/>
    <w:link w:val="35"/>
    <w:uiPriority w:val="99"/>
    <w:rPr>
      <w:sz w:val="16"/>
      <w:szCs w:val="16"/>
    </w:rPr>
  </w:style>
  <w:style w:type="paragraph" w:styleId="afb">
    <w:name w:val="List"/>
    <w:basedOn w:val="a1"/>
    <w:uiPriority w:val="99"/>
    <w:unhideWhenUsed/>
    <w:pPr>
      <w:ind w:left="360" w:hanging="360"/>
      <w:contextualSpacing/>
    </w:pPr>
  </w:style>
  <w:style w:type="paragraph" w:styleId="27">
    <w:name w:val="List 2"/>
    <w:basedOn w:val="a1"/>
    <w:uiPriority w:val="99"/>
    <w:unhideWhenUsed/>
    <w:pPr>
      <w:ind w:left="720" w:hanging="360"/>
      <w:contextualSpacing/>
    </w:pPr>
  </w:style>
  <w:style w:type="paragraph" w:styleId="37">
    <w:name w:val="List 3"/>
    <w:basedOn w:val="a1"/>
    <w:uiPriority w:val="99"/>
    <w:unhideWhenUsed/>
    <w:pPr>
      <w:ind w:left="1080" w:hanging="360"/>
      <w:contextualSpacing/>
    </w:pPr>
  </w:style>
  <w:style w:type="paragraph" w:styleId="a0">
    <w:name w:val="List Bullet"/>
    <w:basedOn w:val="a1"/>
    <w:uiPriority w:val="99"/>
    <w:unhideWhenUsed/>
    <w:pPr>
      <w:numPr>
        <w:numId w:val="1"/>
      </w:numPr>
      <w:contextualSpacing/>
    </w:pPr>
  </w:style>
  <w:style w:type="paragraph" w:styleId="20">
    <w:name w:val="List Bullet 2"/>
    <w:basedOn w:val="a1"/>
    <w:uiPriority w:val="99"/>
    <w:unhideWhenUsed/>
    <w:pPr>
      <w:numPr>
        <w:numId w:val="2"/>
      </w:numPr>
      <w:contextualSpacing/>
    </w:pPr>
  </w:style>
  <w:style w:type="paragraph" w:styleId="3">
    <w:name w:val="List Bullet 3"/>
    <w:basedOn w:val="a1"/>
    <w:uiPriority w:val="99"/>
    <w:unhideWhenUsed/>
    <w:pPr>
      <w:numPr>
        <w:numId w:val="3"/>
      </w:numPr>
      <w:contextualSpacing/>
    </w:pPr>
  </w:style>
  <w:style w:type="paragraph" w:styleId="a">
    <w:name w:val="List Number"/>
    <w:basedOn w:val="a1"/>
    <w:uiPriority w:val="99"/>
    <w:unhideWhenUsed/>
    <w:pPr>
      <w:numPr>
        <w:numId w:val="5"/>
      </w:numPr>
      <w:contextualSpacing/>
    </w:pPr>
  </w:style>
  <w:style w:type="paragraph" w:styleId="2">
    <w:name w:val="List Number 2"/>
    <w:basedOn w:val="a1"/>
    <w:uiPriority w:val="99"/>
    <w:unhideWhenUsed/>
    <w:pPr>
      <w:numPr>
        <w:numId w:val="6"/>
      </w:numPr>
      <w:contextualSpacing/>
    </w:pPr>
  </w:style>
  <w:style w:type="paragraph" w:styleId="30">
    <w:name w:val="List Number 3"/>
    <w:basedOn w:val="a1"/>
    <w:uiPriority w:val="99"/>
    <w:unhideWhenUsed/>
    <w:pPr>
      <w:numPr>
        <w:numId w:val="7"/>
      </w:numPr>
      <w:contextualSpacing/>
    </w:pPr>
  </w:style>
  <w:style w:type="paragraph" w:styleId="afc">
    <w:name w:val="List Continue"/>
    <w:basedOn w:val="a1"/>
    <w:uiPriority w:val="99"/>
    <w:unhideWhenUsed/>
    <w:pPr>
      <w:spacing w:after="120"/>
      <w:ind w:left="360"/>
      <w:contextualSpacing/>
    </w:pPr>
  </w:style>
  <w:style w:type="paragraph" w:styleId="28">
    <w:name w:val="List Continue 2"/>
    <w:basedOn w:val="a1"/>
    <w:uiPriority w:val="99"/>
    <w:unhideWhenUsed/>
    <w:pPr>
      <w:spacing w:after="120"/>
      <w:ind w:left="720"/>
      <w:contextualSpacing/>
    </w:pPr>
  </w:style>
  <w:style w:type="paragraph" w:styleId="38">
    <w:name w:val="List Continue 3"/>
    <w:basedOn w:val="a1"/>
    <w:uiPriority w:val="99"/>
    <w:unhideWhenUsed/>
    <w:pPr>
      <w:spacing w:after="120"/>
      <w:ind w:left="1080"/>
      <w:contextualSpacing/>
    </w:pPr>
  </w:style>
  <w:style w:type="paragraph" w:styleId="afd">
    <w:name w:val="macro"/>
    <w:link w:val="afe"/>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e">
    <w:name w:val="Текст макроса Знак"/>
    <w:basedOn w:val="a2"/>
    <w:link w:val="afd"/>
    <w:uiPriority w:val="99"/>
    <w:rPr>
      <w:rFonts w:ascii="Courier" w:hAnsi="Courier"/>
      <w:sz w:val="20"/>
      <w:szCs w:val="20"/>
    </w:rPr>
  </w:style>
  <w:style w:type="paragraph" w:styleId="29">
    <w:name w:val="Quote"/>
    <w:basedOn w:val="a1"/>
    <w:next w:val="a1"/>
    <w:link w:val="2a"/>
    <w:uiPriority w:val="29"/>
    <w:qFormat/>
    <w:rPr>
      <w:i/>
      <w:iCs/>
      <w:color w:val="000000" w:themeColor="text1"/>
    </w:rPr>
  </w:style>
  <w:style w:type="character" w:customStyle="1" w:styleId="2a">
    <w:name w:val="Цитата 2 Знак"/>
    <w:basedOn w:val="a2"/>
    <w:link w:val="29"/>
    <w:uiPriority w:val="29"/>
    <w:rPr>
      <w:i/>
      <w:iCs/>
      <w:color w:val="000000" w:themeColor="text1"/>
    </w:rPr>
  </w:style>
  <w:style w:type="character" w:customStyle="1" w:styleId="40">
    <w:name w:val="Заголовок 4 Знак"/>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6">
    <w:name w:val="caption"/>
    <w:basedOn w:val="a1"/>
    <w:next w:val="a1"/>
    <w:link w:val="a5"/>
    <w:uiPriority w:val="35"/>
    <w:semiHidden/>
    <w:unhideWhenUsed/>
    <w:qFormat/>
    <w:pPr>
      <w:spacing w:line="240" w:lineRule="auto"/>
    </w:pPr>
    <w:rPr>
      <w:b/>
      <w:bCs/>
      <w:color w:val="4F81BD" w:themeColor="accent1"/>
      <w:sz w:val="18"/>
      <w:szCs w:val="18"/>
    </w:rPr>
  </w:style>
  <w:style w:type="character" w:styleId="aff">
    <w:name w:val="Strong"/>
    <w:basedOn w:val="a2"/>
    <w:uiPriority w:val="22"/>
    <w:qFormat/>
    <w:rPr>
      <w:b/>
      <w:bCs/>
    </w:rPr>
  </w:style>
  <w:style w:type="character" w:styleId="aff0">
    <w:name w:val="Emphasis"/>
    <w:basedOn w:val="a2"/>
    <w:uiPriority w:val="20"/>
    <w:qFormat/>
    <w:rPr>
      <w:i/>
      <w:iCs/>
    </w:rPr>
  </w:style>
  <w:style w:type="paragraph" w:styleId="aff1">
    <w:name w:val="Intense Quote"/>
    <w:basedOn w:val="a1"/>
    <w:next w:val="a1"/>
    <w:link w:val="aff2"/>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2">
    <w:name w:val="Выделенная цитата Знак"/>
    <w:basedOn w:val="a2"/>
    <w:link w:val="aff1"/>
    <w:uiPriority w:val="30"/>
    <w:rPr>
      <w:b/>
      <w:bCs/>
      <w:i/>
      <w:iCs/>
      <w:color w:val="4F81BD" w:themeColor="accent1"/>
    </w:rPr>
  </w:style>
  <w:style w:type="character" w:styleId="aff3">
    <w:name w:val="Subtle Emphasis"/>
    <w:basedOn w:val="a2"/>
    <w:uiPriority w:val="19"/>
    <w:qFormat/>
    <w:rPr>
      <w:i/>
      <w:iCs/>
      <w:color w:val="808080" w:themeColor="text1" w:themeTint="7F"/>
    </w:rPr>
  </w:style>
  <w:style w:type="character" w:styleId="aff4">
    <w:name w:val="Intense Emphasis"/>
    <w:basedOn w:val="a2"/>
    <w:uiPriority w:val="21"/>
    <w:qFormat/>
    <w:rPr>
      <w:b/>
      <w:bCs/>
      <w:i/>
      <w:iCs/>
      <w:color w:val="4F81BD" w:themeColor="accent1"/>
    </w:rPr>
  </w:style>
  <w:style w:type="character" w:styleId="aff5">
    <w:name w:val="Subtle Reference"/>
    <w:basedOn w:val="a2"/>
    <w:uiPriority w:val="31"/>
    <w:qFormat/>
    <w:rPr>
      <w:smallCaps/>
      <w:color w:val="C0504D" w:themeColor="accent2"/>
      <w:u w:val="single"/>
    </w:rPr>
  </w:style>
  <w:style w:type="character" w:styleId="aff6">
    <w:name w:val="Intense Reference"/>
    <w:basedOn w:val="a2"/>
    <w:uiPriority w:val="32"/>
    <w:qFormat/>
    <w:rPr>
      <w:b/>
      <w:bCs/>
      <w:smallCaps/>
      <w:color w:val="C0504D" w:themeColor="accent2"/>
      <w:spacing w:val="5"/>
      <w:u w:val="single"/>
    </w:rPr>
  </w:style>
  <w:style w:type="character" w:styleId="aff7">
    <w:name w:val="Book Title"/>
    <w:basedOn w:val="a2"/>
    <w:uiPriority w:val="33"/>
    <w:qFormat/>
    <w:rPr>
      <w:b/>
      <w:bCs/>
      <w:smallCaps/>
      <w:spacing w:val="5"/>
    </w:rPr>
  </w:style>
  <w:style w:type="paragraph" w:styleId="aff8">
    <w:name w:val="TOC Heading"/>
    <w:basedOn w:val="1"/>
    <w:next w:val="a1"/>
    <w:uiPriority w:val="39"/>
    <w:semiHidden/>
    <w:unhideWhenUsed/>
    <w:qFormat/>
    <w:pPr>
      <w:outlineLvl w:val="9"/>
    </w:pPr>
  </w:style>
  <w:style w:type="table" w:styleId="aff9">
    <w:name w:val="Table Grid"/>
    <w:basedOn w:val="a3"/>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a">
    <w:name w:val="Light Shading"/>
    <w:basedOn w:val="a3"/>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styleId="-11">
    <w:name w:val="Light Shading Accent 1"/>
    <w:basedOn w:val="a3"/>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one" w:sz="4" w:space="0" w:color="000000"/>
          <w:bottom w:val="single" w:sz="8" w:space="0" w:color="4F81BD" w:themeColor="accent1"/>
          <w:right w:val="none" w:sz="4" w:space="0" w:color="000000"/>
        </w:tcBorders>
      </w:tcPr>
    </w:tblStylePr>
    <w:tblStylePr w:type="lastRow">
      <w:pPr>
        <w:spacing w:before="0" w:after="0" w:line="240" w:lineRule="auto"/>
      </w:pPr>
      <w:rPr>
        <w:b/>
        <w:bCs/>
      </w:rPr>
      <w:tblPr/>
      <w:tcPr>
        <w:tcBorders>
          <w:top w:val="single" w:sz="8" w:space="0" w:color="4F81BD" w:themeColor="accent1"/>
          <w:left w:val="none" w:sz="4" w:space="0" w:color="000000"/>
          <w:bottom w:val="single" w:sz="8" w:space="0" w:color="4F81BD"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3DFEE" w:themeFill="accent1" w:themeFillTint="3F"/>
      </w:tcPr>
    </w:tblStylePr>
    <w:tblStylePr w:type="band1Horz">
      <w:tblPr/>
      <w:tcPr>
        <w:tcBorders>
          <w:left w:val="none" w:sz="4" w:space="0" w:color="000000"/>
          <w:right w:val="none" w:sz="4" w:space="0" w:color="000000"/>
        </w:tcBorders>
        <w:shd w:val="clear" w:color="auto" w:fill="D3DFEE" w:themeFill="accent1" w:themeFillTint="3F"/>
      </w:tcPr>
    </w:tblStylePr>
  </w:style>
  <w:style w:type="table" w:styleId="-21">
    <w:name w:val="Light Shading Accent 2"/>
    <w:basedOn w:val="a3"/>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one" w:sz="4" w:space="0" w:color="000000"/>
          <w:bottom w:val="single" w:sz="8" w:space="0" w:color="C0504D" w:themeColor="accent2"/>
          <w:right w:val="none" w:sz="4" w:space="0" w:color="000000"/>
        </w:tcBorders>
      </w:tcPr>
    </w:tblStylePr>
    <w:tblStylePr w:type="lastRow">
      <w:pPr>
        <w:spacing w:before="0" w:after="0" w:line="240" w:lineRule="auto"/>
      </w:pPr>
      <w:rPr>
        <w:b/>
        <w:bCs/>
      </w:rPr>
      <w:tblPr/>
      <w:tcPr>
        <w:tcBorders>
          <w:top w:val="single" w:sz="8" w:space="0" w:color="C0504D" w:themeColor="accent2"/>
          <w:left w:val="none" w:sz="4" w:space="0" w:color="000000"/>
          <w:bottom w:val="single" w:sz="8" w:space="0" w:color="C0504D" w:themeColor="accent2"/>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FD3D2" w:themeFill="accent2" w:themeFillTint="3F"/>
      </w:tcPr>
    </w:tblStylePr>
    <w:tblStylePr w:type="band1Horz">
      <w:tblPr/>
      <w:tcPr>
        <w:tcBorders>
          <w:left w:val="none" w:sz="4" w:space="0" w:color="000000"/>
          <w:right w:val="none" w:sz="4" w:space="0" w:color="000000"/>
        </w:tcBorders>
        <w:shd w:val="clear" w:color="auto" w:fill="EFD3D2" w:themeFill="accent2" w:themeFillTint="3F"/>
      </w:tcPr>
    </w:tblStylePr>
  </w:style>
  <w:style w:type="table" w:styleId="-31">
    <w:name w:val="Light Shading Accent 3"/>
    <w:basedOn w:val="a3"/>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one" w:sz="4" w:space="0" w:color="000000"/>
          <w:bottom w:val="single" w:sz="8" w:space="0" w:color="9BBB59" w:themeColor="accent3"/>
          <w:right w:val="none" w:sz="4" w:space="0" w:color="000000"/>
        </w:tcBorders>
      </w:tcPr>
    </w:tblStylePr>
    <w:tblStylePr w:type="lastRow">
      <w:pPr>
        <w:spacing w:before="0" w:after="0" w:line="240" w:lineRule="auto"/>
      </w:pPr>
      <w:rPr>
        <w:b/>
        <w:bCs/>
      </w:rPr>
      <w:tblPr/>
      <w:tcPr>
        <w:tcBorders>
          <w:top w:val="single" w:sz="8" w:space="0" w:color="9BBB59" w:themeColor="accent3"/>
          <w:left w:val="none" w:sz="4" w:space="0" w:color="000000"/>
          <w:bottom w:val="single" w:sz="8" w:space="0" w:color="9BBB59" w:themeColor="accent3"/>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hemeFill="accent3" w:themeFillTint="3F"/>
      </w:tcPr>
    </w:tblStylePr>
    <w:tblStylePr w:type="band1Horz">
      <w:tblPr/>
      <w:tcPr>
        <w:tcBorders>
          <w:left w:val="none" w:sz="4" w:space="0" w:color="000000"/>
          <w:right w:val="none" w:sz="4" w:space="0" w:color="000000"/>
        </w:tcBorders>
        <w:shd w:val="clear" w:color="auto" w:fill="E6EED5" w:themeFill="accent3" w:themeFillTint="3F"/>
      </w:tcPr>
    </w:tblStylePr>
  </w:style>
  <w:style w:type="table" w:styleId="-41">
    <w:name w:val="Light Shading Accent 4"/>
    <w:basedOn w:val="a3"/>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one" w:sz="4" w:space="0" w:color="000000"/>
          <w:bottom w:val="single" w:sz="8" w:space="0" w:color="8064A2" w:themeColor="accent4"/>
          <w:right w:val="none" w:sz="4" w:space="0" w:color="000000"/>
        </w:tcBorders>
      </w:tcPr>
    </w:tblStylePr>
    <w:tblStylePr w:type="lastRow">
      <w:pPr>
        <w:spacing w:before="0" w:after="0" w:line="240" w:lineRule="auto"/>
      </w:pPr>
      <w:rPr>
        <w:b/>
        <w:bCs/>
      </w:rPr>
      <w:tblPr/>
      <w:tcPr>
        <w:tcBorders>
          <w:top w:val="single" w:sz="8" w:space="0" w:color="8064A2" w:themeColor="accent4"/>
          <w:left w:val="none" w:sz="4" w:space="0" w:color="000000"/>
          <w:bottom w:val="single" w:sz="8" w:space="0" w:color="8064A2" w:themeColor="accent4"/>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FD8E8" w:themeFill="accent4" w:themeFillTint="3F"/>
      </w:tcPr>
    </w:tblStylePr>
    <w:tblStylePr w:type="band1Horz">
      <w:tblPr/>
      <w:tcPr>
        <w:tcBorders>
          <w:left w:val="none" w:sz="4" w:space="0" w:color="000000"/>
          <w:right w:val="none" w:sz="4" w:space="0" w:color="000000"/>
        </w:tcBorders>
        <w:shd w:val="clear" w:color="auto" w:fill="DFD8E8" w:themeFill="accent4" w:themeFillTint="3F"/>
      </w:tcPr>
    </w:tblStylePr>
  </w:style>
  <w:style w:type="table" w:styleId="-51">
    <w:name w:val="Light Shading Accent 5"/>
    <w:basedOn w:val="a3"/>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one" w:sz="4" w:space="0" w:color="000000"/>
          <w:bottom w:val="single" w:sz="8" w:space="0" w:color="4BACC6" w:themeColor="accent5"/>
          <w:right w:val="none" w:sz="4" w:space="0" w:color="000000"/>
        </w:tcBorders>
      </w:tcPr>
    </w:tblStylePr>
    <w:tblStylePr w:type="lastRow">
      <w:pPr>
        <w:spacing w:before="0" w:after="0" w:line="240" w:lineRule="auto"/>
      </w:pPr>
      <w:rPr>
        <w:b/>
        <w:bCs/>
      </w:rPr>
      <w:tblPr/>
      <w:tcPr>
        <w:tcBorders>
          <w:top w:val="single" w:sz="8" w:space="0" w:color="4BACC6" w:themeColor="accent5"/>
          <w:left w:val="none" w:sz="4" w:space="0" w:color="000000"/>
          <w:bottom w:val="single" w:sz="8" w:space="0" w:color="4BACC6" w:themeColor="accent5"/>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2EAF1" w:themeFill="accent5" w:themeFillTint="3F"/>
      </w:tcPr>
    </w:tblStylePr>
    <w:tblStylePr w:type="band1Horz">
      <w:tblPr/>
      <w:tcPr>
        <w:tcBorders>
          <w:left w:val="none" w:sz="4" w:space="0" w:color="000000"/>
          <w:right w:val="none" w:sz="4" w:space="0" w:color="000000"/>
        </w:tcBorders>
        <w:shd w:val="clear" w:color="auto" w:fill="D2EAF1" w:themeFill="accent5" w:themeFillTint="3F"/>
      </w:tcPr>
    </w:tblStylePr>
  </w:style>
  <w:style w:type="table" w:styleId="-61">
    <w:name w:val="Light Shading Accent 6"/>
    <w:basedOn w:val="a3"/>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one" w:sz="4" w:space="0" w:color="000000"/>
          <w:bottom w:val="single" w:sz="8" w:space="0" w:color="F79646" w:themeColor="accent6"/>
          <w:right w:val="none" w:sz="4" w:space="0" w:color="000000"/>
        </w:tcBorders>
      </w:tcPr>
    </w:tblStylePr>
    <w:tblStylePr w:type="lastRow">
      <w:pPr>
        <w:spacing w:before="0" w:after="0" w:line="240" w:lineRule="auto"/>
      </w:pPr>
      <w:rPr>
        <w:b/>
        <w:bCs/>
      </w:rPr>
      <w:tblPr/>
      <w:tcPr>
        <w:tcBorders>
          <w:top w:val="single" w:sz="8" w:space="0" w:color="F79646" w:themeColor="accent6"/>
          <w:left w:val="none" w:sz="4" w:space="0" w:color="000000"/>
          <w:bottom w:val="single" w:sz="8" w:space="0" w:color="F79646" w:themeColor="accent6"/>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DE4D0" w:themeFill="accent6" w:themeFillTint="3F"/>
      </w:tcPr>
    </w:tblStylePr>
    <w:tblStylePr w:type="band1Horz">
      <w:tblPr/>
      <w:tcPr>
        <w:tcBorders>
          <w:left w:val="none" w:sz="4" w:space="0" w:color="000000"/>
          <w:right w:val="none" w:sz="4" w:space="0" w:color="000000"/>
        </w:tcBorders>
        <w:shd w:val="clear" w:color="auto" w:fill="FDE4D0" w:themeFill="accent6" w:themeFillTint="3F"/>
      </w:tcPr>
    </w:tblStylePr>
  </w:style>
  <w:style w:type="table" w:styleId="affb">
    <w:name w:val="Light List"/>
    <w:basedOn w:val="a3"/>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sing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2">
    <w:name w:val="Light List Accent 2"/>
    <w:basedOn w:val="a3"/>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sing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2">
    <w:name w:val="Light List Accent 3"/>
    <w:basedOn w:val="a3"/>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sing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sing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sing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sing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c">
    <w:name w:val="Light Grid"/>
    <w:basedOn w:val="a3"/>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3">
    <w:name w:val="Light Grid Accent 1"/>
    <w:basedOn w:val="a3"/>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Grid Accent 2"/>
    <w:basedOn w:val="a3"/>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3">
    <w:name w:val="Light Grid Accent 3"/>
    <w:basedOn w:val="a3"/>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Grid Accent 4"/>
    <w:basedOn w:val="a3"/>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3">
    <w:name w:val="Light Grid Accent 5"/>
    <w:basedOn w:val="a3"/>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3">
    <w:name w:val="Light Grid Accent 6"/>
    <w:basedOn w:val="a3"/>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3">
    <w:name w:val="Medium Shading 1"/>
    <w:basedOn w:val="a3"/>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000000" w:themeFill="text1"/>
      </w:tcPr>
    </w:tblStylePr>
    <w:tblStylePr w:type="lastRow">
      <w:pPr>
        <w:spacing w:before="0" w:after="0" w:line="240" w:lineRule="auto"/>
      </w:pPr>
      <w:rPr>
        <w:b/>
        <w:bCs/>
      </w:rPr>
      <w:tblPr/>
      <w:tcPr>
        <w:tcBorders>
          <w:top w:val="sing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
    <w:name w:val="Medium Shading 1 Accent 1"/>
    <w:basedOn w:val="a3"/>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tblStylePr>
    <w:tblStylePr w:type="lastRow">
      <w:pPr>
        <w:spacing w:before="0" w:after="0" w:line="240" w:lineRule="auto"/>
      </w:pPr>
      <w:rPr>
        <w:b/>
        <w:bCs/>
      </w:rPr>
      <w:tblPr/>
      <w:tcPr>
        <w:tcBorders>
          <w:top w:val="sing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
    <w:name w:val="Medium Shading 1 Accent 2"/>
    <w:basedOn w:val="a3"/>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tcBorders>
        <w:shd w:val="clear" w:color="auto" w:fill="C0504D" w:themeFill="accent2"/>
      </w:tcPr>
    </w:tblStylePr>
    <w:tblStylePr w:type="lastRow">
      <w:pPr>
        <w:spacing w:before="0" w:after="0" w:line="240" w:lineRule="auto"/>
      </w:pPr>
      <w:rPr>
        <w:b/>
        <w:bCs/>
      </w:rPr>
      <w:tblPr/>
      <w:tcPr>
        <w:tcBorders>
          <w:top w:val="sing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
    <w:name w:val="Medium Shading 1 Accent 3"/>
    <w:basedOn w:val="a3"/>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shd w:val="clear" w:color="auto" w:fill="9BBB59" w:themeFill="accent3"/>
      </w:tcPr>
    </w:tblStylePr>
    <w:tblStylePr w:type="lastRow">
      <w:pPr>
        <w:spacing w:before="0" w:after="0" w:line="240" w:lineRule="auto"/>
      </w:pPr>
      <w:rPr>
        <w:b/>
        <w:bCs/>
      </w:rPr>
      <w:tblPr/>
      <w:tcPr>
        <w:tcBorders>
          <w:top w:val="sing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
    <w:name w:val="Medium Shading 1 Accent 4"/>
    <w:basedOn w:val="a3"/>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tcBorders>
        <w:shd w:val="clear" w:color="auto" w:fill="8064A2" w:themeFill="accent4"/>
      </w:tcPr>
    </w:tblStylePr>
    <w:tblStylePr w:type="lastRow">
      <w:pPr>
        <w:spacing w:before="0" w:after="0" w:line="240" w:lineRule="auto"/>
      </w:pPr>
      <w:rPr>
        <w:b/>
        <w:bCs/>
      </w:rPr>
      <w:tblPr/>
      <w:tcPr>
        <w:tcBorders>
          <w:top w:val="sing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
    <w:name w:val="Medium Shading 1 Accent 5"/>
    <w:basedOn w:val="a3"/>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shd w:val="clear" w:color="auto" w:fill="4BACC6" w:themeFill="accent5"/>
      </w:tcPr>
    </w:tblStylePr>
    <w:tblStylePr w:type="lastRow">
      <w:pPr>
        <w:spacing w:before="0" w:after="0" w:line="240" w:lineRule="auto"/>
      </w:pPr>
      <w:rPr>
        <w:b/>
        <w:bCs/>
      </w:rPr>
      <w:tblPr/>
      <w:tcPr>
        <w:tcBorders>
          <w:top w:val="sing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
    <w:name w:val="Medium Shading 1 Accent 6"/>
    <w:basedOn w:val="a3"/>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F79646" w:themeFill="accent6"/>
      </w:tcPr>
    </w:tblStylePr>
    <w:tblStylePr w:type="lastRow">
      <w:pPr>
        <w:spacing w:before="0" w:after="0" w:line="240" w:lineRule="auto"/>
      </w:pPr>
      <w:rPr>
        <w:b/>
        <w:bCs/>
      </w:rPr>
      <w:tblPr/>
      <w:tcPr>
        <w:tcBorders>
          <w:top w:val="sing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Shading 2"/>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000000" w:themeFill="text1"/>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000000" w:themeFill="text1"/>
      </w:tcPr>
    </w:tblStylePr>
    <w:tblStylePr w:type="lastCol">
      <w:rPr>
        <w:b/>
        <w:bCs/>
        <w:color w:val="FFFFFF" w:themeColor="background1"/>
      </w:rPr>
      <w:tblPr/>
      <w:tcPr>
        <w:tcBorders>
          <w:left w:val="none" w:sz="4" w:space="0" w:color="000000"/>
          <w:right w:val="none" w:sz="4" w:space="0" w:color="000000"/>
        </w:tcBorders>
        <w:shd w:val="clear" w:color="auto" w:fill="000000" w:themeFill="text1"/>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1">
    <w:name w:val="Medium Shading 2 Accent 1"/>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4F81BD" w:themeFill="accent1"/>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4F81BD" w:themeFill="accent1"/>
      </w:tcPr>
    </w:tblStylePr>
    <w:tblStylePr w:type="lastCol">
      <w:rPr>
        <w:b/>
        <w:bCs/>
        <w:color w:val="FFFFFF" w:themeColor="background1"/>
      </w:rPr>
      <w:tblPr/>
      <w:tcPr>
        <w:tcBorders>
          <w:left w:val="none" w:sz="4" w:space="0" w:color="000000"/>
          <w:right w:val="none" w:sz="4" w:space="0" w:color="000000"/>
        </w:tcBorders>
        <w:shd w:val="clear" w:color="auto" w:fill="4F81BD" w:themeFill="accent1"/>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2">
    <w:name w:val="Medium Shading 2 Accent 2"/>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C0504D" w:themeFill="accent2"/>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C0504D" w:themeFill="accent2"/>
      </w:tcPr>
    </w:tblStylePr>
    <w:tblStylePr w:type="lastCol">
      <w:rPr>
        <w:b/>
        <w:bCs/>
        <w:color w:val="FFFFFF" w:themeColor="background1"/>
      </w:rPr>
      <w:tblPr/>
      <w:tcPr>
        <w:tcBorders>
          <w:left w:val="none" w:sz="4" w:space="0" w:color="000000"/>
          <w:right w:val="none" w:sz="4" w:space="0" w:color="000000"/>
        </w:tcBorders>
        <w:shd w:val="clear" w:color="auto" w:fill="C0504D" w:themeFill="accent2"/>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3">
    <w:name w:val="Medium Shading 2 Accent 3"/>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9BBB59" w:themeFill="accent3"/>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9BBB59" w:themeFill="accent3"/>
      </w:tcPr>
    </w:tblStylePr>
    <w:tblStylePr w:type="lastCol">
      <w:rPr>
        <w:b/>
        <w:bCs/>
        <w:color w:val="FFFFFF" w:themeColor="background1"/>
      </w:rPr>
      <w:tblPr/>
      <w:tcPr>
        <w:tcBorders>
          <w:left w:val="none" w:sz="4" w:space="0" w:color="000000"/>
          <w:right w:val="none" w:sz="4" w:space="0" w:color="000000"/>
        </w:tcBorders>
        <w:shd w:val="clear" w:color="auto" w:fill="9BBB59" w:themeFill="accent3"/>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4">
    <w:name w:val="Medium Shading 2 Accent 4"/>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8064A2" w:themeFill="accent4"/>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8064A2" w:themeFill="accent4"/>
      </w:tcPr>
    </w:tblStylePr>
    <w:tblStylePr w:type="lastCol">
      <w:rPr>
        <w:b/>
        <w:bCs/>
        <w:color w:val="FFFFFF" w:themeColor="background1"/>
      </w:rPr>
      <w:tblPr/>
      <w:tcPr>
        <w:tcBorders>
          <w:left w:val="none" w:sz="4" w:space="0" w:color="000000"/>
          <w:right w:val="none" w:sz="4" w:space="0" w:color="000000"/>
        </w:tcBorders>
        <w:shd w:val="clear" w:color="auto" w:fill="8064A2" w:themeFill="accent4"/>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5">
    <w:name w:val="Medium Shading 2 Accent 5"/>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4BACC6" w:themeFill="accent5"/>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4BACC6" w:themeFill="accent5"/>
      </w:tcPr>
    </w:tblStylePr>
    <w:tblStylePr w:type="lastCol">
      <w:rPr>
        <w:b/>
        <w:bCs/>
        <w:color w:val="FFFFFF" w:themeColor="background1"/>
      </w:rPr>
      <w:tblPr/>
      <w:tcPr>
        <w:tcBorders>
          <w:left w:val="none" w:sz="4" w:space="0" w:color="000000"/>
          <w:right w:val="none" w:sz="4" w:space="0" w:color="000000"/>
        </w:tcBorders>
        <w:shd w:val="clear" w:color="auto" w:fill="4BACC6" w:themeFill="accent5"/>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6">
    <w:name w:val="Medium Shading 2 Accent 6"/>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F79646" w:themeFill="accent6"/>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F79646" w:themeFill="accent6"/>
      </w:tcPr>
    </w:tblStylePr>
    <w:tblStylePr w:type="lastCol">
      <w:rPr>
        <w:b/>
        <w:bCs/>
        <w:color w:val="FFFFFF" w:themeColor="background1"/>
      </w:rPr>
      <w:tblPr/>
      <w:tcPr>
        <w:tcBorders>
          <w:left w:val="none" w:sz="4" w:space="0" w:color="000000"/>
          <w:right w:val="none" w:sz="4" w:space="0" w:color="000000"/>
        </w:tcBorders>
        <w:shd w:val="clear" w:color="auto" w:fill="F79646" w:themeFill="accent6"/>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14">
    <w:name w:val="Medium List 1"/>
    <w:basedOn w:val="a3"/>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one" w:sz="4" w:space="0" w:color="000000"/>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one" w:sz="4" w:space="0" w:color="000000"/>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one" w:sz="4" w:space="0" w:color="000000"/>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one" w:sz="4" w:space="0" w:color="000000"/>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one" w:sz="4" w:space="0" w:color="000000"/>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one" w:sz="4" w:space="0" w:color="000000"/>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one" w:sz="4" w:space="0" w:color="000000"/>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c">
    <w:name w:val="Medium Lis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one" w:sz="4" w:space="0" w:color="000000"/>
          <w:left w:val="none" w:sz="4" w:space="0" w:color="000000"/>
          <w:bottom w:val="single" w:sz="24" w:space="0" w:color="000000" w:themeColor="text1"/>
          <w:right w:val="none" w:sz="4" w:space="0" w:color="000000"/>
        </w:tcBorders>
        <w:shd w:val="clear" w:color="auto" w:fill="FFFFFF" w:themeFill="background1"/>
      </w:tcPr>
    </w:tblStylePr>
    <w:tblStylePr w:type="lastRow">
      <w:tblPr/>
      <w:tcPr>
        <w:tcBorders>
          <w:top w:val="single" w:sz="8"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000000" w:themeColor="text1"/>
        </w:tcBorders>
        <w:shd w:val="clear" w:color="auto" w:fill="FFFFFF" w:themeFill="background1"/>
      </w:tcPr>
    </w:tblStylePr>
    <w:tblStylePr w:type="lastCol">
      <w:tblPr/>
      <w:tcPr>
        <w:tcBorders>
          <w:top w:val="none" w:sz="4" w:space="0" w:color="000000"/>
          <w:left w:val="single" w:sz="8" w:space="0" w:color="000000" w:themeColor="text1"/>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top w:val="none" w:sz="4" w:space="0" w:color="000000"/>
          <w:bottom w:val="none" w:sz="4" w:space="0" w:color="000000"/>
        </w:tcBorders>
        <w:shd w:val="clear" w:color="auto" w:fill="C0C0C0" w:themeFill="tex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10">
    <w:name w:val="Medium List 2 Accent 1"/>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one" w:sz="4" w:space="0" w:color="000000"/>
          <w:left w:val="none" w:sz="4" w:space="0" w:color="000000"/>
          <w:bottom w:val="single" w:sz="24" w:space="0" w:color="4F81BD" w:themeColor="accent1"/>
          <w:right w:val="none" w:sz="4" w:space="0" w:color="000000"/>
        </w:tcBorders>
        <w:shd w:val="clear" w:color="auto" w:fill="FFFFFF" w:themeFill="background1"/>
      </w:tcPr>
    </w:tblStylePr>
    <w:tblStylePr w:type="lastRow">
      <w:tblPr/>
      <w:tcPr>
        <w:tcBorders>
          <w:top w:val="single" w:sz="8" w:space="0" w:color="4F81BD" w:themeColor="accent1"/>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4F81BD" w:themeColor="accent1"/>
        </w:tcBorders>
        <w:shd w:val="clear" w:color="auto" w:fill="FFFFFF" w:themeFill="background1"/>
      </w:tcPr>
    </w:tblStylePr>
    <w:tblStylePr w:type="lastCol">
      <w:tblPr/>
      <w:tcPr>
        <w:tcBorders>
          <w:top w:val="none" w:sz="4" w:space="0" w:color="000000"/>
          <w:left w:val="single" w:sz="8" w:space="0" w:color="4F81BD" w:themeColor="accent1"/>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3DFEE" w:themeFill="accent1" w:themeFillTint="3F"/>
      </w:tcPr>
    </w:tblStylePr>
    <w:tblStylePr w:type="band1Horz">
      <w:tblPr/>
      <w:tcPr>
        <w:tcBorders>
          <w:top w:val="none" w:sz="4" w:space="0" w:color="000000"/>
          <w:bottom w:val="none" w:sz="4" w:space="0" w:color="000000"/>
        </w:tcBorders>
        <w:shd w:val="clear" w:color="auto" w:fill="D3DFEE" w:themeFill="accen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20">
    <w:name w:val="Medium List 2 Accen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tblPr/>
      <w:tcPr>
        <w:tcBorders>
          <w:top w:val="single" w:sz="8" w:space="0" w:color="C0504D" w:themeColor="accent2"/>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C0504D" w:themeColor="accent2"/>
        </w:tcBorders>
        <w:shd w:val="clear" w:color="auto" w:fill="FFFFFF" w:themeFill="background1"/>
      </w:tcPr>
    </w:tblStylePr>
    <w:tblStylePr w:type="lastCol">
      <w:tblPr/>
      <w:tcPr>
        <w:tcBorders>
          <w:top w:val="none" w:sz="4" w:space="0" w:color="000000"/>
          <w:left w:val="single" w:sz="8" w:space="0" w:color="C0504D" w:themeColor="accent2"/>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EFD3D2" w:themeFill="accent2" w:themeFillTint="3F"/>
      </w:tcPr>
    </w:tblStylePr>
    <w:tblStylePr w:type="band1Horz">
      <w:tblPr/>
      <w:tcPr>
        <w:tcBorders>
          <w:top w:val="none" w:sz="4" w:space="0" w:color="000000"/>
          <w:bottom w:val="none" w:sz="4" w:space="0" w:color="000000"/>
        </w:tcBorders>
        <w:shd w:val="clear" w:color="auto" w:fill="EFD3D2" w:themeFill="accent2"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30">
    <w:name w:val="Medium List 2 Accent 3"/>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one" w:sz="4" w:space="0" w:color="000000"/>
          <w:left w:val="none" w:sz="4" w:space="0" w:color="000000"/>
          <w:bottom w:val="single" w:sz="24" w:space="0" w:color="9BBB59" w:themeColor="accent3"/>
          <w:right w:val="none" w:sz="4" w:space="0" w:color="000000"/>
        </w:tcBorders>
        <w:shd w:val="clear" w:color="auto" w:fill="FFFFFF" w:themeFill="background1"/>
      </w:tcPr>
    </w:tblStylePr>
    <w:tblStylePr w:type="lastRow">
      <w:tblPr/>
      <w:tcPr>
        <w:tcBorders>
          <w:top w:val="single" w:sz="8" w:space="0" w:color="9BBB59" w:themeColor="accent3"/>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9BBB59" w:themeColor="accent3"/>
        </w:tcBorders>
        <w:shd w:val="clear" w:color="auto" w:fill="FFFFFF" w:themeFill="background1"/>
      </w:tcPr>
    </w:tblStylePr>
    <w:tblStylePr w:type="lastCol">
      <w:tblPr/>
      <w:tcPr>
        <w:tcBorders>
          <w:top w:val="none" w:sz="4" w:space="0" w:color="000000"/>
          <w:left w:val="single" w:sz="8" w:space="0" w:color="9BBB59" w:themeColor="accent3"/>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E6EED5" w:themeFill="accent3" w:themeFillTint="3F"/>
      </w:tcPr>
    </w:tblStylePr>
    <w:tblStylePr w:type="band1Horz">
      <w:tblPr/>
      <w:tcPr>
        <w:tcBorders>
          <w:top w:val="none" w:sz="4" w:space="0" w:color="000000"/>
          <w:bottom w:val="none" w:sz="4" w:space="0" w:color="000000"/>
        </w:tcBorders>
        <w:shd w:val="clear" w:color="auto" w:fill="E6EED5" w:themeFill="accent3"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40">
    <w:name w:val="Medium List 2 Accent 4"/>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one" w:sz="4" w:space="0" w:color="000000"/>
          <w:left w:val="none" w:sz="4" w:space="0" w:color="000000"/>
          <w:bottom w:val="single" w:sz="24" w:space="0" w:color="8064A2" w:themeColor="accent4"/>
          <w:right w:val="none" w:sz="4" w:space="0" w:color="000000"/>
        </w:tcBorders>
        <w:shd w:val="clear" w:color="auto" w:fill="FFFFFF" w:themeFill="background1"/>
      </w:tcPr>
    </w:tblStylePr>
    <w:tblStylePr w:type="lastRow">
      <w:tblPr/>
      <w:tcPr>
        <w:tcBorders>
          <w:top w:val="single" w:sz="8" w:space="0" w:color="8064A2" w:themeColor="accent4"/>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8064A2" w:themeColor="accent4"/>
        </w:tcBorders>
        <w:shd w:val="clear" w:color="auto" w:fill="FFFFFF" w:themeFill="background1"/>
      </w:tcPr>
    </w:tblStylePr>
    <w:tblStylePr w:type="lastCol">
      <w:tblPr/>
      <w:tcPr>
        <w:tcBorders>
          <w:top w:val="none" w:sz="4" w:space="0" w:color="000000"/>
          <w:left w:val="single" w:sz="8" w:space="0" w:color="8064A2" w:themeColor="accent4"/>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FD8E8" w:themeFill="accent4" w:themeFillTint="3F"/>
      </w:tcPr>
    </w:tblStylePr>
    <w:tblStylePr w:type="band1Horz">
      <w:tblPr/>
      <w:tcPr>
        <w:tcBorders>
          <w:top w:val="none" w:sz="4" w:space="0" w:color="000000"/>
          <w:bottom w:val="none" w:sz="4" w:space="0" w:color="000000"/>
        </w:tcBorders>
        <w:shd w:val="clear" w:color="auto" w:fill="DFD8E8" w:themeFill="accent4"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50">
    <w:name w:val="Medium List 2 Accent 5"/>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one" w:sz="4" w:space="0" w:color="000000"/>
          <w:left w:val="none" w:sz="4" w:space="0" w:color="000000"/>
          <w:bottom w:val="single" w:sz="24" w:space="0" w:color="4BACC6" w:themeColor="accent5"/>
          <w:right w:val="none" w:sz="4" w:space="0" w:color="000000"/>
        </w:tcBorders>
        <w:shd w:val="clear" w:color="auto" w:fill="FFFFFF" w:themeFill="background1"/>
      </w:tcPr>
    </w:tblStylePr>
    <w:tblStylePr w:type="lastRow">
      <w:tblPr/>
      <w:tcPr>
        <w:tcBorders>
          <w:top w:val="single" w:sz="8" w:space="0" w:color="4BACC6" w:themeColor="accent5"/>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4BACC6" w:themeColor="accent5"/>
        </w:tcBorders>
        <w:shd w:val="clear" w:color="auto" w:fill="FFFFFF" w:themeFill="background1"/>
      </w:tcPr>
    </w:tblStylePr>
    <w:tblStylePr w:type="lastCol">
      <w:tblPr/>
      <w:tcPr>
        <w:tcBorders>
          <w:top w:val="none" w:sz="4" w:space="0" w:color="000000"/>
          <w:left w:val="single" w:sz="8" w:space="0" w:color="4BACC6" w:themeColor="accent5"/>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2EAF1" w:themeFill="accent5" w:themeFillTint="3F"/>
      </w:tcPr>
    </w:tblStylePr>
    <w:tblStylePr w:type="band1Horz">
      <w:tblPr/>
      <w:tcPr>
        <w:tcBorders>
          <w:top w:val="none" w:sz="4" w:space="0" w:color="000000"/>
          <w:bottom w:val="none" w:sz="4" w:space="0" w:color="000000"/>
        </w:tcBorders>
        <w:shd w:val="clear" w:color="auto" w:fill="D2EAF1" w:themeFill="accent5"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60">
    <w:name w:val="Medium List 2 Accent 6"/>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one" w:sz="4" w:space="0" w:color="000000"/>
          <w:left w:val="none" w:sz="4" w:space="0" w:color="000000"/>
          <w:bottom w:val="single" w:sz="24" w:space="0" w:color="F79646" w:themeColor="accent6"/>
          <w:right w:val="none" w:sz="4" w:space="0" w:color="000000"/>
        </w:tcBorders>
        <w:shd w:val="clear" w:color="auto" w:fill="FFFFFF" w:themeFill="background1"/>
      </w:tcPr>
    </w:tblStylePr>
    <w:tblStylePr w:type="lastRow">
      <w:tblPr/>
      <w:tcPr>
        <w:tcBorders>
          <w:top w:val="single" w:sz="8" w:space="0" w:color="F79646" w:themeColor="accent6"/>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F79646" w:themeColor="accent6"/>
        </w:tcBorders>
        <w:shd w:val="clear" w:color="auto" w:fill="FFFFFF" w:themeFill="background1"/>
      </w:tcPr>
    </w:tblStylePr>
    <w:tblStylePr w:type="lastCol">
      <w:tblPr/>
      <w:tcPr>
        <w:tcBorders>
          <w:top w:val="none" w:sz="4" w:space="0" w:color="000000"/>
          <w:left w:val="single" w:sz="8" w:space="0" w:color="F79646" w:themeColor="accent6"/>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FDE4D0" w:themeFill="accent6" w:themeFillTint="3F"/>
      </w:tcPr>
    </w:tblStylePr>
    <w:tblStylePr w:type="band1Horz">
      <w:tblPr/>
      <w:tcPr>
        <w:tcBorders>
          <w:top w:val="none" w:sz="4" w:space="0" w:color="000000"/>
          <w:bottom w:val="none" w:sz="4" w:space="0" w:color="000000"/>
        </w:tcBorders>
        <w:shd w:val="clear" w:color="auto" w:fill="FDE4D0" w:themeFill="accent6"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15">
    <w:name w:val="Medium Grid 1"/>
    <w:basedOn w:val="a3"/>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d">
    <w:name w:val="Medium Grid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CCCCCC" w:themeFill="text1" w:themeFillTint="33"/>
      </w:tcPr>
    </w:tblStylePr>
    <w:tblStylePr w:type="band1Vert">
      <w:tblPr/>
      <w:tcPr>
        <w:shd w:val="clear" w:color="auto" w:fill="808080" w:themeFill="text1" w:themeFillTint="7F"/>
      </w:tcPr>
    </w:tblStylePr>
    <w:tblStylePr w:type="band1Horz">
      <w:tblPr/>
      <w:tcPr>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DBE5F1" w:themeFill="accent1" w:themeFillTint="33"/>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F2DBDB" w:themeFill="accent2" w:themeFillTint="33"/>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EAF1DD" w:themeFill="accent3" w:themeFillTint="33"/>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E5DFEC" w:themeFill="accent4" w:themeFillTint="33"/>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DAEEF3" w:themeFill="accent5" w:themeFillTint="33"/>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FDE9D9" w:themeFill="accent6" w:themeFillTint="33"/>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tblStylePr w:type="nwCell">
      <w:tblPr/>
      <w:tcPr>
        <w:shd w:val="clear" w:color="auto" w:fill="FFFFFF" w:themeFill="background1"/>
      </w:tcPr>
    </w:tblStylePr>
  </w:style>
  <w:style w:type="table" w:styleId="39">
    <w:name w:val="Medium Grid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000000" w:themeFill="text1"/>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text1" w:themeFillTint="7F"/>
      </w:tcPr>
    </w:tblStylePr>
  </w:style>
  <w:style w:type="table" w:styleId="3-1">
    <w:name w:val="Medium Grid 3 Accent 1"/>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4F81BD" w:themeFill="accent1"/>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7BFDE" w:themeFill="accent1" w:themeFillTint="7F"/>
      </w:tcPr>
    </w:tblStylePr>
  </w:style>
  <w:style w:type="table" w:styleId="3-2">
    <w:name w:val="Medium Grid 3 Accent 2"/>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C0504D" w:themeFill="accent2"/>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A7A6" w:themeFill="accent2" w:themeFillTint="7F"/>
      </w:tcPr>
    </w:tblStylePr>
  </w:style>
  <w:style w:type="table" w:styleId="3-3">
    <w:name w:val="Medium Grid 3 Accent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9BBB59" w:themeFill="accent3"/>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DDDAC" w:themeFill="accent3" w:themeFillTint="7F"/>
      </w:tcPr>
    </w:tblStylePr>
  </w:style>
  <w:style w:type="table" w:styleId="3-4">
    <w:name w:val="Medium Grid 3 Accent 4"/>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8064A2" w:themeFill="accent4"/>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1D0" w:themeFill="accent4" w:themeFillTint="7F"/>
      </w:tcPr>
    </w:tblStylePr>
  </w:style>
  <w:style w:type="table" w:styleId="3-5">
    <w:name w:val="Medium Grid 3 Accent 5"/>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4BACC6" w:themeFill="accent5"/>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5D5E2" w:themeFill="accent5" w:themeFillTint="7F"/>
      </w:tcPr>
    </w:tblStylePr>
  </w:style>
  <w:style w:type="table" w:styleId="3-6">
    <w:name w:val="Medium Grid 3 Accent 6"/>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F79646" w:themeFill="accent6"/>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BCAA2" w:themeFill="accent6" w:themeFillTint="7F"/>
      </w:tcPr>
    </w:tblStylePr>
  </w:style>
  <w:style w:type="table" w:styleId="affd">
    <w:name w:val="Dark List"/>
    <w:basedOn w:val="a3"/>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000000" w:themeFill="tex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000000" w:themeFill="tex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000000" w:themeFill="text1"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style>
  <w:style w:type="table" w:styleId="-14">
    <w:name w:val="Dark List Accent 1"/>
    <w:basedOn w:val="a3"/>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243F60" w:themeFill="accen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365F91" w:themeFill="accen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365F91" w:themeFill="accent1"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365F91" w:themeFill="accent1"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365F91" w:themeFill="accent1" w:themeFillShade="BF"/>
      </w:tcPr>
    </w:tblStylePr>
  </w:style>
  <w:style w:type="table" w:styleId="-24">
    <w:name w:val="Dark List Accent 2"/>
    <w:basedOn w:val="a3"/>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622423" w:themeFill="accent2"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943634" w:themeFill="accent2"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943634" w:themeFill="accent2"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943634" w:themeFill="accent2"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943634" w:themeFill="accent2" w:themeFillShade="BF"/>
      </w:tcPr>
    </w:tblStylePr>
  </w:style>
  <w:style w:type="table" w:styleId="-34">
    <w:name w:val="Dark List Accent 3"/>
    <w:basedOn w:val="a3"/>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4E6128" w:themeFill="accent3"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76923C" w:themeFill="accent3"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76923C" w:themeFill="accent3"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76923C" w:themeFill="accent3"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76923C" w:themeFill="accent3" w:themeFillShade="BF"/>
      </w:tcPr>
    </w:tblStylePr>
  </w:style>
  <w:style w:type="table" w:styleId="-44">
    <w:name w:val="Dark List Accent 4"/>
    <w:basedOn w:val="a3"/>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3F3151" w:themeFill="accent4"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5F497A" w:themeFill="accent4"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5F497A" w:themeFill="accent4"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5F497A" w:themeFill="accent4"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5F497A" w:themeFill="accent4" w:themeFillShade="BF"/>
      </w:tcPr>
    </w:tblStylePr>
  </w:style>
  <w:style w:type="table" w:styleId="-54">
    <w:name w:val="Dark List Accent 5"/>
    <w:basedOn w:val="a3"/>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205867" w:themeFill="accent5"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31849B" w:themeFill="accent5"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31849B" w:themeFill="accent5"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31849B" w:themeFill="accent5"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31849B" w:themeFill="accent5" w:themeFillShade="BF"/>
      </w:tcPr>
    </w:tblStylePr>
  </w:style>
  <w:style w:type="table" w:styleId="-64">
    <w:name w:val="Dark List Accent 6"/>
    <w:basedOn w:val="a3"/>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974706" w:themeFill="accent6"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E36C0A" w:themeFill="accent6"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E36C0A" w:themeFill="accent6"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E36C0A" w:themeFill="accent6"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E36C0A" w:themeFill="accent6" w:themeFillShade="BF"/>
      </w:tcPr>
    </w:tblStylePr>
  </w:style>
  <w:style w:type="table" w:styleId="affe">
    <w:name w:val="Colorful Shading"/>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000000" w:themeFill="tex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C4C74" w:themeFill="accen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5">
    <w:name w:val="Colorful Shading Accent 2"/>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772C2A" w:themeFill="accent2"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5">
    <w:name w:val="Colorful Shading Accent 3"/>
    <w:basedOn w:val="a3"/>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one" w:sz="4" w:space="0" w:color="000000"/>
          <w:left w:val="none" w:sz="4" w:space="0" w:color="000000"/>
          <w:bottom w:val="single" w:sz="24" w:space="0" w:color="8064A2" w:themeColor="accent4"/>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5E7530" w:themeFill="accent3"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one" w:sz="4" w:space="0" w:color="000000"/>
          <w:left w:val="none" w:sz="4" w:space="0" w:color="000000"/>
          <w:bottom w:val="single" w:sz="24" w:space="0" w:color="9BBB59" w:themeColor="accent3"/>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4C3B62" w:themeFill="accent4"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one" w:sz="4" w:space="0" w:color="000000"/>
          <w:left w:val="none" w:sz="4" w:space="0" w:color="000000"/>
          <w:bottom w:val="single" w:sz="24" w:space="0" w:color="F79646" w:themeColor="accent6"/>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76A7C" w:themeFill="accent5"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one" w:sz="4" w:space="0" w:color="000000"/>
          <w:left w:val="none" w:sz="4" w:space="0" w:color="000000"/>
          <w:bottom w:val="single" w:sz="24" w:space="0" w:color="4BACC6" w:themeColor="accent5"/>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B65608" w:themeFill="accent6"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
    <w:name w:val="Colorful List"/>
    <w:basedOn w:val="a3"/>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C0C0C0" w:themeFill="text1" w:themeFillTint="3F"/>
      </w:tcPr>
    </w:tblStylePr>
    <w:tblStylePr w:type="band1Horz">
      <w:tblPr/>
      <w:tcPr>
        <w:shd w:val="clear" w:color="auto" w:fill="CCCCCC" w:themeFill="text1" w:themeFillTint="33"/>
      </w:tcPr>
    </w:tblStylePr>
  </w:style>
  <w:style w:type="table" w:styleId="-16">
    <w:name w:val="Colorful List Accent 1"/>
    <w:basedOn w:val="a3"/>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3DFEE" w:themeFill="accent1" w:themeFillTint="3F"/>
      </w:tcPr>
    </w:tblStylePr>
    <w:tblStylePr w:type="band1Horz">
      <w:tblPr/>
      <w:tcPr>
        <w:shd w:val="clear" w:color="auto" w:fill="DBE5F1" w:themeFill="accent1" w:themeFillTint="33"/>
      </w:tcPr>
    </w:tblStylePr>
  </w:style>
  <w:style w:type="table" w:styleId="-26">
    <w:name w:val="Colorful List Accent 2"/>
    <w:basedOn w:val="a3"/>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3"/>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FDE4D0" w:themeFill="accent6" w:themeFillTint="3F"/>
      </w:tcPr>
    </w:tblStylePr>
    <w:tblStylePr w:type="band1Horz">
      <w:tblPr/>
      <w:tcPr>
        <w:shd w:val="clear" w:color="auto" w:fill="FDE9D9" w:themeFill="accent6" w:themeFillTint="33"/>
      </w:tcPr>
    </w:tblStylePr>
  </w:style>
  <w:style w:type="table" w:styleId="afff0">
    <w:name w:val="Colorful Grid"/>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7">
    <w:name w:val="Colorful Grid Accent 1"/>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7">
    <w:name w:val="Colorful Grid Accent 3"/>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Liberation Sans"/>
        <a:cs typeface="Liberation Sans"/>
      </a:majorFont>
      <a:minorFont>
        <a:latin typeface="Cambria"/>
        <a:ea typeface="Liberation Sans"/>
        <a:cs typeface="Liberation Sans"/>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2994</Words>
  <Characters>17068</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20022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18</cp:revision>
  <dcterms:created xsi:type="dcterms:W3CDTF">2013-12-23T23:15:00Z</dcterms:created>
  <dcterms:modified xsi:type="dcterms:W3CDTF">2026-09-17T06:30:00Z</dcterms:modified>
  <cp:category/>
</cp:coreProperties>
</file>