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CD636" w14:textId="77777777" w:rsidR="00686281" w:rsidRDefault="00000000">
      <w:pPr>
        <w:spacing w:after="40"/>
        <w:jc w:val="right"/>
        <w:rPr>
          <w:lang w:val="ru-RU"/>
        </w:rPr>
      </w:pPr>
      <w:r>
        <w:rPr>
          <w:lang w:val="ru-RU"/>
        </w:rPr>
        <w:t>Приложение № 5 к Пользовательскому соглашению</w:t>
      </w:r>
    </w:p>
    <w:p w14:paraId="1CE2C364" w14:textId="77777777" w:rsidR="00686281" w:rsidRDefault="00686281">
      <w:pPr>
        <w:spacing w:after="200"/>
        <w:jc w:val="both"/>
        <w:rPr>
          <w:lang w:val="ru-RU"/>
        </w:rPr>
      </w:pPr>
    </w:p>
    <w:p w14:paraId="426E8AC6" w14:textId="77777777" w:rsidR="00686281" w:rsidRDefault="00000000">
      <w:pPr>
        <w:spacing w:after="160"/>
        <w:jc w:val="center"/>
        <w:rPr>
          <w:lang w:val="ru-RU"/>
        </w:rPr>
      </w:pPr>
      <w:r>
        <w:rPr>
          <w:b/>
          <w:sz w:val="26"/>
          <w:lang w:val="ru-RU"/>
        </w:rPr>
        <w:t>РУКОВОДСТВО ПО ИСПОЛЬЗОВАНИЮ ЛИЧНОГО КАБИНЕТА ПОЛЬЗОВАТЕЛЯ</w:t>
      </w:r>
    </w:p>
    <w:p w14:paraId="25CEB7A8" w14:textId="77777777" w:rsidR="00686281" w:rsidRDefault="00000000">
      <w:pPr>
        <w:spacing w:before="200"/>
        <w:ind w:firstLine="567"/>
        <w:jc w:val="both"/>
        <w:rPr>
          <w:lang w:val="ru-RU"/>
        </w:rPr>
      </w:pPr>
      <w:r>
        <w:rPr>
          <w:b/>
          <w:sz w:val="24"/>
          <w:lang w:val="ru-RU"/>
        </w:rPr>
        <w:t>1. Общие положения</w:t>
      </w:r>
    </w:p>
    <w:p w14:paraId="066866D3" w14:textId="77777777" w:rsidR="00686281" w:rsidRDefault="00000000">
      <w:pPr>
        <w:ind w:firstLine="567"/>
        <w:jc w:val="both"/>
        <w:rPr>
          <w:lang w:val="ru-RU"/>
        </w:rPr>
      </w:pPr>
      <w:r>
        <w:rPr>
          <w:lang w:val="ru-RU"/>
        </w:rPr>
        <w:t>1.1. Настоящее Руководство определяет порядок использования Личного кабинета Пользователя — закрытой части электронной торговой площадки «СТАН-Торги» (далее — ЭТП, Система), — и является Приложением № 5 к Пользовательскому соглашению о предоставлении права использования функциональных возможностей ЭТП «СТАН-Торги» (далее — Соглашение).</w:t>
      </w:r>
    </w:p>
    <w:p w14:paraId="6E3D685E" w14:textId="77777777" w:rsidR="00686281" w:rsidRDefault="00000000">
      <w:pPr>
        <w:ind w:firstLine="567"/>
        <w:jc w:val="both"/>
        <w:rPr>
          <w:lang w:val="ru-RU"/>
        </w:rPr>
      </w:pPr>
      <w:r>
        <w:rPr>
          <w:lang w:val="ru-RU"/>
        </w:rPr>
        <w:t xml:space="preserve">1.2. Раздел Системы «Личный кабинет» размещён на сайте ЭТП «СТАН-Торги» по адресам </w:t>
      </w:r>
      <w:hyperlink r:id="rId8" w:tooltip="https://stantorgi.ru/" w:history="1">
        <w:r w:rsidR="00686281">
          <w:rPr>
            <w:rStyle w:val="afff0"/>
            <w:lang w:val="ru-RU"/>
          </w:rPr>
          <w:t>https://stantorgi.ru/</w:t>
        </w:r>
      </w:hyperlink>
      <w:r>
        <w:rPr>
          <w:lang w:val="ru-RU"/>
        </w:rPr>
        <w:t xml:space="preserve">, </w:t>
      </w:r>
      <w:hyperlink r:id="rId9" w:tooltip="https://stan-torgi.ru/" w:history="1">
        <w:r w:rsidR="00686281">
          <w:rPr>
            <w:rStyle w:val="afff0"/>
            <w:lang w:val="ru-RU"/>
          </w:rPr>
          <w:t>https://stan-torgi.ru/</w:t>
        </w:r>
      </w:hyperlink>
      <w:r>
        <w:rPr>
          <w:lang w:val="ru-RU"/>
        </w:rPr>
        <w:t xml:space="preserve"> и представляет собой автоматизированное рабочее место Пользователя. Сайт Оператора размещён по адресам </w:t>
      </w:r>
      <w:hyperlink r:id="rId10" w:tooltip="https://stantorgi.ru/" w:history="1">
        <w:r w:rsidR="00686281">
          <w:rPr>
            <w:rStyle w:val="afff0"/>
            <w:lang w:val="ru-RU"/>
          </w:rPr>
          <w:t>https://stantorgi.ru/</w:t>
        </w:r>
      </w:hyperlink>
      <w:r>
        <w:rPr>
          <w:lang w:val="ru-RU"/>
        </w:rPr>
        <w:t xml:space="preserve">, </w:t>
      </w:r>
      <w:hyperlink r:id="rId11" w:tooltip="https://stan-torgi.ru/" w:history="1">
        <w:r w:rsidR="00686281">
          <w:rPr>
            <w:rStyle w:val="afff0"/>
            <w:lang w:val="ru-RU"/>
          </w:rPr>
          <w:t>https://stan-torgi.ru/</w:t>
        </w:r>
      </w:hyperlink>
      <w:r>
        <w:rPr>
          <w:lang w:val="ru-RU"/>
        </w:rPr>
        <w:t>.</w:t>
      </w:r>
    </w:p>
    <w:p w14:paraId="44D9D56F" w14:textId="77777777" w:rsidR="00686281" w:rsidRDefault="00000000">
      <w:pPr>
        <w:ind w:firstLine="567"/>
        <w:jc w:val="both"/>
        <w:rPr>
          <w:lang w:val="ru-RU"/>
        </w:rPr>
      </w:pPr>
      <w:r>
        <w:rPr>
          <w:lang w:val="ru-RU"/>
        </w:rPr>
        <w:t>1.3. Термины и определения используются в значениях, установленных Глоссарием (Приложение № 1 к Соглашению). Наименования секций Системы используются единообразно: «Коммерческие закупки», «Закупки по 223-ФЗ», «Продажа» и иные индивидуальные секции.</w:t>
      </w:r>
    </w:p>
    <w:p w14:paraId="73DDE3C1" w14:textId="3D7B01C1" w:rsidR="00686281" w:rsidRDefault="00000000">
      <w:pPr>
        <w:ind w:firstLine="567"/>
        <w:jc w:val="both"/>
        <w:rPr>
          <w:lang w:val="ru-RU"/>
        </w:rPr>
      </w:pPr>
      <w:r>
        <w:rPr>
          <w:lang w:val="ru-RU"/>
        </w:rPr>
        <w:t xml:space="preserve">1.4. Личный кабинет функционирует </w:t>
      </w:r>
      <w:r w:rsidR="00E63AAB">
        <w:rPr>
          <w:lang w:val="ru-RU"/>
        </w:rPr>
        <w:t xml:space="preserve">в порядке установленном </w:t>
      </w:r>
      <w:r>
        <w:rPr>
          <w:lang w:val="ru-RU"/>
        </w:rPr>
        <w:t>Соглашением и приложениями к нему: Глоссарием (Приложение № 1), Общим описанием функциональных возможностей (Приложение № 2), Правилами регистрации и аккредитации Пользователей (Приложение № 3), Правилами открытия и ведения лицевых счетов Пользователей (Приложение № 4), Руководством Организатора процедур (Приложение № 6), Руководством Участника процедур (Приложение № 7) и Тарифами Оператора (Приложение № 8). Пользователь обязан соблюдать требования указанных документов (пункт 1.4 Руководства Организатора процедур, пункт 1.4 Руководства Участника процедур).</w:t>
      </w:r>
    </w:p>
    <w:p w14:paraId="22775A8D" w14:textId="77777777" w:rsidR="00686281" w:rsidRDefault="00000000">
      <w:pPr>
        <w:ind w:firstLine="567"/>
        <w:jc w:val="both"/>
        <w:rPr>
          <w:lang w:val="ru-RU"/>
        </w:rPr>
      </w:pPr>
      <w:r>
        <w:rPr>
          <w:lang w:val="ru-RU"/>
        </w:rPr>
        <w:t>1.5. Личный кабинет доступен Пользователю сразу после регистрации учётной записи. Состав доступных Пользователю разделов Личного кабинета, секций и сервисов Системы определяется ролью добавленных им организаций («Заказчик» или «Поставщик»), ролью Пользователя в организации, наличием аккредитации у организации-поставщика и оформленной подпиской (разделы 3, 4, 7 настоящего Руководства, пункты 2.1, 2.4 Соглашения). Аккредитацию проходит только организация-поставщик; аккредитация является бессрочной и необходима для подачи заявок на участие в Процедурах и запросов разъяснений (пункты 5.5–5.7 настоящего Руководства, Правила регистрации и аккредитации Пользователей).</w:t>
      </w:r>
    </w:p>
    <w:p w14:paraId="57D99B61" w14:textId="77777777" w:rsidR="00686281" w:rsidRDefault="00000000">
      <w:pPr>
        <w:ind w:firstLine="567"/>
        <w:jc w:val="both"/>
        <w:rPr>
          <w:lang w:val="ru-RU"/>
        </w:rPr>
      </w:pPr>
      <w:r>
        <w:rPr>
          <w:lang w:val="ru-RU"/>
        </w:rPr>
        <w:t xml:space="preserve">1.6. Все действия, совершённые в Личном кабинете с использованием логина и пароля либо КЭП Пользователя (его уполномоченных лиц), считаются совершёнными Пользователем, </w:t>
      </w:r>
      <w:r w:rsidRPr="0070650C">
        <w:rPr>
          <w:lang w:val="ru-RU"/>
        </w:rPr>
        <w:t>если иное не доказано (пункт 3.5 Соглашения). Ответственность за действия дополнительных пользователей несёт Пользователь/организация, от имени которой они действуют (пункт 3.6 Соглашения, пункт 7.2 Правил регистрации и аккредитации Пользователей).</w:t>
      </w:r>
    </w:p>
    <w:p w14:paraId="522AAF01" w14:textId="77777777" w:rsidR="00686281" w:rsidRDefault="00000000">
      <w:pPr>
        <w:ind w:firstLine="567"/>
        <w:jc w:val="both"/>
        <w:rPr>
          <w:lang w:val="ru-RU"/>
        </w:rPr>
      </w:pPr>
      <w:r>
        <w:rPr>
          <w:lang w:val="ru-RU"/>
        </w:rPr>
        <w:t>1.7. Система фиксирует юридически значимые действия с указанием даты, времени (по московскому времени) и автора их совершения: подачу, изменение и отзыв заявок, ценовые предложения, подписание электронных документов КЭП, протоколы, действия с договорами, обмен сведениями с единой информационной системой в сфере закупок (далее — ЕИС), операции по лицевому счёту, а также действия Оператора в административной части Системы (пункт 5.1 Общего описания функциональных возможностей). Время совершения действий и электронных документов определяется по московскому времени сервера, на котором функционирует программное обеспечение ЭТП (пункт 5.5 Общего описания функциональных возможностей).</w:t>
      </w:r>
    </w:p>
    <w:p w14:paraId="4A88A03D" w14:textId="77777777" w:rsidR="00686281" w:rsidRDefault="00000000">
      <w:pPr>
        <w:ind w:firstLine="567"/>
        <w:jc w:val="both"/>
        <w:rPr>
          <w:lang w:val="ru-RU"/>
        </w:rPr>
      </w:pPr>
      <w:r>
        <w:rPr>
          <w:lang w:val="ru-RU"/>
        </w:rPr>
        <w:lastRenderedPageBreak/>
        <w:t>1.8. Функционирование Системы, размещение обрабатываемых данных и защита информации обеспечиваются Оператором в соответствии с разделом 6 Общего описания функциональных возможностей (в том числе Федеральным законом от 27.07.2006 № 149-ФЗ «Об информации, информационных технологиях и о защите информации»).</w:t>
      </w:r>
    </w:p>
    <w:p w14:paraId="76782D0F" w14:textId="77777777" w:rsidR="00686281" w:rsidRDefault="00000000">
      <w:pPr>
        <w:spacing w:before="200"/>
        <w:ind w:firstLine="567"/>
        <w:jc w:val="both"/>
        <w:rPr>
          <w:lang w:val="ru-RU"/>
        </w:rPr>
      </w:pPr>
      <w:r>
        <w:rPr>
          <w:b/>
          <w:sz w:val="24"/>
          <w:lang w:val="ru-RU"/>
        </w:rPr>
        <w:t>2. Регистрация и вход в Личный кабинет (логин и пароль, электронная подпись)</w:t>
      </w:r>
    </w:p>
    <w:p w14:paraId="7B657DAD" w14:textId="0A3EB545" w:rsidR="00686281" w:rsidRPr="00122C03" w:rsidRDefault="00000000">
      <w:pPr>
        <w:ind w:firstLine="567"/>
        <w:jc w:val="both"/>
        <w:rPr>
          <w:color w:val="EE0000"/>
          <w:lang w:val="ru-RU"/>
        </w:rPr>
      </w:pPr>
      <w:r>
        <w:rPr>
          <w:lang w:val="ru-RU"/>
        </w:rPr>
        <w:t xml:space="preserve">2.1. Регистрация учётной записи осуществляется на сайте ЭТП на странице «Регистрация на площадке». Заявитель указывает логин (латинские буквы, цифры, точка, дефис, подчёркивание), адрес электронной почты, пароль (не короче 8 символов) и его повтор, принимает условия Соглашения проставлением отметки о принятии (Система фиксирует дату, время и редакцию принятого Соглашения) и нажимает кнопку «Зарегистрироваться». Регистрация учётной записи электронной подписью не подписывается. </w:t>
      </w:r>
    </w:p>
    <w:p w14:paraId="7F933EF8" w14:textId="77777777" w:rsidR="00686281" w:rsidRDefault="00000000">
      <w:pPr>
        <w:ind w:firstLine="567"/>
        <w:jc w:val="both"/>
        <w:rPr>
          <w:lang w:val="ru-RU"/>
        </w:rPr>
      </w:pPr>
      <w:r>
        <w:rPr>
          <w:lang w:val="ru-RU"/>
        </w:rPr>
        <w:t>Порядок регистрации, добавления организаций и аккредитации организаций-поставщиков установлен Правилами регистрации и аккредитации Пользователей (Приложение № 3 к Соглашению); стандартная аккредитация осуществляется без взимания платы, срок рассмотрения заявки — до 5 (пяти) рабочих дней, при ускоренном рассмотрении — 1 (один) рабочий день после оплаты (пункт 5.6 настоящего Руководства).</w:t>
      </w:r>
    </w:p>
    <w:p w14:paraId="4EE3AA4D" w14:textId="77777777" w:rsidR="00686281" w:rsidRDefault="00000000">
      <w:pPr>
        <w:ind w:firstLine="567"/>
        <w:jc w:val="both"/>
        <w:rPr>
          <w:lang w:val="ru-RU"/>
        </w:rPr>
      </w:pPr>
      <w:r>
        <w:rPr>
          <w:lang w:val="ru-RU"/>
        </w:rPr>
        <w:t>2.2. При регистрации Заявитель указывает уникальные логин и адрес электронной почты: адрес электронной почты Пользователя может использоваться в Личном кабинете только одного Пользователя ЭТП (пункт 2.1 Правил регистрации и аккредитации Пользователей).</w:t>
      </w:r>
    </w:p>
    <w:p w14:paraId="0F092FB5" w14:textId="77777777" w:rsidR="00686281" w:rsidRDefault="00000000">
      <w:pPr>
        <w:ind w:firstLine="567"/>
        <w:jc w:val="both"/>
        <w:rPr>
          <w:lang w:val="ru-RU"/>
        </w:rPr>
      </w:pPr>
      <w:r>
        <w:rPr>
          <w:lang w:val="ru-RU"/>
        </w:rPr>
        <w:t>2.3. Вход в Личный кабинет осуществляется на странице «Вход в кабинет»: Пользователь указывает в поле «Email или логин» логин либо адрес электронной почты учётной записи, в поле «Пароль» — пароль и нажимает кнопку «Войти».</w:t>
      </w:r>
    </w:p>
    <w:p w14:paraId="6E77DD29" w14:textId="77777777" w:rsidR="00686281" w:rsidRDefault="00000000">
      <w:pPr>
        <w:ind w:firstLine="567"/>
        <w:jc w:val="both"/>
        <w:rPr>
          <w:lang w:val="ru-RU"/>
        </w:rPr>
      </w:pPr>
      <w:r>
        <w:rPr>
          <w:lang w:val="ru-RU"/>
        </w:rPr>
        <w:t>2.4. Вход может быть дополнительно подтверждён электронной подписью: Пользователь заполняет поля «Email или логин» и «Пароль», нажимает кнопку «Вход по ЭЦП», выбирает сертификат КЭП и подписывает запрос. Сертификат КЭП подтверждает логин и пароль, но не заменяет их. При первом входе по ЭЦП сертификат привязывается к учётной записи; в дальнейшем вход по ЭЦП выполняется тем же сертификатом либо сертификатом, привязанным в разделе «Электронная подпись» (пункт 5.11 настоящего Руководства). Для входа по ЭЦП на рабочем месте Пользователя должно быть установлено программное обеспечение, указанное в пункте 2.10 настоящего Руководства.</w:t>
      </w:r>
    </w:p>
    <w:p w14:paraId="076C66C2" w14:textId="77777777" w:rsidR="00686281" w:rsidRDefault="00000000">
      <w:pPr>
        <w:ind w:firstLine="567"/>
        <w:jc w:val="both"/>
        <w:rPr>
          <w:lang w:val="ru-RU"/>
        </w:rPr>
      </w:pPr>
      <w:r>
        <w:rPr>
          <w:lang w:val="ru-RU"/>
        </w:rPr>
        <w:t>2.5. Если учётная запись создана в Системе по данным сертификата КЭП и не имеет логина и пароля, после первого входа по сертификату Система открывает страницу «Настройка аккаунта». Пользователь задаёт логин, адрес электронной почты (подставляется из сертификата при его наличии) и пароль и нажимает кнопку «Сохранить и продолжить»; до завершения настройки работа в Личном кабинете недоступна.</w:t>
      </w:r>
    </w:p>
    <w:p w14:paraId="64AED380" w14:textId="77777777" w:rsidR="00686281" w:rsidRDefault="00000000">
      <w:pPr>
        <w:ind w:firstLine="567"/>
        <w:jc w:val="both"/>
        <w:rPr>
          <w:lang w:val="ru-RU"/>
        </w:rPr>
      </w:pPr>
      <w:r>
        <w:rPr>
          <w:lang w:val="ru-RU"/>
        </w:rPr>
        <w:t>2.6. При утрате пароля Пользователь нажимает на странице входа ссылку «Забыли пароль?», на странице «Восстановление пароля» указывает адрес электронной почты и логин учётной записи и нажимает кнопку «Отправить ссылку». По ссылке из письма, направленного на адрес электронной почты учётной записи, Пользователь задаёт новый пароль и нажимает кнопку «Сохранить пароль».</w:t>
      </w:r>
    </w:p>
    <w:p w14:paraId="21F4CA17" w14:textId="77777777" w:rsidR="00686281" w:rsidRDefault="00000000">
      <w:pPr>
        <w:ind w:firstLine="567"/>
        <w:jc w:val="both"/>
        <w:rPr>
          <w:lang w:val="ru-RU"/>
        </w:rPr>
      </w:pPr>
      <w:r>
        <w:rPr>
          <w:lang w:val="ru-RU"/>
        </w:rPr>
        <w:t>2.7. Логин (идентификатор), пароль, ключ электронной подписи и его ключевой носитель не подлежат передаче третьим лицам, не уполномоченным Пользователем. Каждое лицо, действующее от имени Пользователя, регистрирует собственную учётную запись и присоединяется к организации в порядке, установленном пунктами 4.4, 4.5 настоящего Руководства.</w:t>
      </w:r>
    </w:p>
    <w:p w14:paraId="46F9A01C" w14:textId="77777777" w:rsidR="00686281" w:rsidRDefault="00000000">
      <w:pPr>
        <w:ind w:firstLine="567"/>
        <w:jc w:val="both"/>
        <w:rPr>
          <w:lang w:val="ru-RU"/>
        </w:rPr>
      </w:pPr>
      <w:r>
        <w:rPr>
          <w:lang w:val="ru-RU"/>
        </w:rPr>
        <w:lastRenderedPageBreak/>
        <w:t>2.8. Пользователь обязан обеспечивать сохранность логина, пароля и ключей электронной подписи и незамедлительно уведомлять Оператора об их утрате или компрометации (подпункт «д» пункта 6.2 Соглашения). Поступление от Пользователя информации о завладении авторизационными данными и (или) ключом электронной подписи неуполномоченными третьими лицами является основанием для блокирования учётной записи и (или) отзыва аккредитации (раздел 6 Правил регистрации и аккредитации Пользователей).</w:t>
      </w:r>
    </w:p>
    <w:p w14:paraId="71801E25" w14:textId="77777777" w:rsidR="00686281" w:rsidRDefault="00000000">
      <w:pPr>
        <w:ind w:firstLine="567"/>
        <w:jc w:val="both"/>
        <w:rPr>
          <w:lang w:val="ru-RU"/>
        </w:rPr>
      </w:pPr>
      <w:r>
        <w:rPr>
          <w:lang w:val="ru-RU"/>
        </w:rPr>
        <w:t>2.9. Оператор вправе заблокировать учётную запись Пользователя или организацию, а также отозвать аккредитацию организации-поставщика решением с указанием причины в случаях, предусмотренных Соглашением и разделом 6 Правил регистрации и аккредитации Пользователей. Заблокированная организация, а также организация, карточка которой находится на модерации, не может размещать Процедуры и подавать заявки на участие в них. О блокировании и об отзыве аккредитации Оператор уведомляет путём размещения уведомления в Личном кабинете и направления уведомления на адрес электронной почты учётных записей организации.</w:t>
      </w:r>
    </w:p>
    <w:p w14:paraId="5B1178B0" w14:textId="77777777" w:rsidR="00686281" w:rsidRDefault="00000000">
      <w:pPr>
        <w:ind w:firstLine="567"/>
        <w:jc w:val="both"/>
        <w:rPr>
          <w:lang w:val="ru-RU"/>
        </w:rPr>
      </w:pPr>
      <w:r>
        <w:rPr>
          <w:lang w:val="ru-RU"/>
        </w:rPr>
        <w:t>2.10. Работа в Личном кабинете осуществляется с использованием аппаратно-технического комплекса и программного обеспечения, соответствующих рекомендациям Оператора о рабочем месте Пользователя, размещаемым в Личном кабинете и на сайте ЭТП.</w:t>
      </w:r>
    </w:p>
    <w:p w14:paraId="484FCC88" w14:textId="77777777" w:rsidR="00686281" w:rsidRDefault="00000000">
      <w:pPr>
        <w:ind w:firstLine="567"/>
        <w:jc w:val="both"/>
        <w:rPr>
          <w:lang w:val="ru-RU"/>
        </w:rPr>
      </w:pPr>
      <w:r>
        <w:rPr>
          <w:lang w:val="ru-RU"/>
        </w:rPr>
        <w:t>Рекомендуемые требования к рабочему месту Пользователя:</w:t>
      </w:r>
    </w:p>
    <w:p w14:paraId="38665A05" w14:textId="77777777" w:rsidR="00686281" w:rsidRDefault="00000000">
      <w:pPr>
        <w:ind w:firstLine="567"/>
        <w:jc w:val="both"/>
        <w:rPr>
          <w:lang w:val="ru-RU"/>
        </w:rPr>
      </w:pPr>
      <w:r>
        <w:rPr>
          <w:lang w:val="ru-RU"/>
        </w:rPr>
        <w:t>– персональный компьютер или ноутбук, подключенный к сети Интернет;</w:t>
      </w:r>
    </w:p>
    <w:p w14:paraId="499838C6" w14:textId="77777777" w:rsidR="00686281" w:rsidRDefault="00000000">
      <w:pPr>
        <w:ind w:firstLine="567"/>
        <w:jc w:val="both"/>
        <w:rPr>
          <w:lang w:val="ru-RU"/>
        </w:rPr>
      </w:pPr>
      <w:r>
        <w:rPr>
          <w:lang w:val="ru-RU"/>
        </w:rPr>
        <w:t>– операционная система, поддерживаемая используемым браузером и программным обеспечением для работы с электронной подписью;</w:t>
      </w:r>
    </w:p>
    <w:p w14:paraId="6FC6DE4A" w14:textId="77777777" w:rsidR="00686281" w:rsidRDefault="00000000">
      <w:pPr>
        <w:ind w:firstLine="567"/>
        <w:jc w:val="both"/>
        <w:rPr>
          <w:lang w:val="ru-RU"/>
        </w:rPr>
      </w:pPr>
      <w:r>
        <w:rPr>
          <w:lang w:val="ru-RU"/>
        </w:rPr>
        <w:t>– современный веб-браузер с поддержкой JavaScript, Cookies и необходимых криптографических механизмов;</w:t>
      </w:r>
    </w:p>
    <w:p w14:paraId="3B4ABF55" w14:textId="77777777" w:rsidR="00686281" w:rsidRDefault="00000000">
      <w:pPr>
        <w:ind w:firstLine="567"/>
        <w:jc w:val="both"/>
        <w:rPr>
          <w:lang w:val="ru-RU"/>
        </w:rPr>
      </w:pPr>
      <w:r>
        <w:rPr>
          <w:lang w:val="ru-RU"/>
        </w:rPr>
        <w:t>– программное обеспечение для работы с квалифицированной электронной подписью, включая криптографический провайдер КриптоПро CSP актуальной поддерживаемой версии и КриптоПро ЭЦП Browser plug-in либо иное программное обеспечение, предусмотренное Оператором;</w:t>
      </w:r>
    </w:p>
    <w:p w14:paraId="3D9B02DC" w14:textId="77777777" w:rsidR="00686281" w:rsidRDefault="00000000">
      <w:pPr>
        <w:ind w:firstLine="567"/>
        <w:jc w:val="both"/>
        <w:rPr>
          <w:lang w:val="ru-RU"/>
        </w:rPr>
      </w:pPr>
      <w:r>
        <w:rPr>
          <w:lang w:val="ru-RU"/>
        </w:rPr>
        <w:t>– установленный и настроенный сертификат ключа проверки электронной подписи, а также корневые и промежуточные сертификаты соответствующего удостоверяющего центра;</w:t>
      </w:r>
    </w:p>
    <w:p w14:paraId="7EC989BC" w14:textId="77777777" w:rsidR="00686281" w:rsidRDefault="00000000">
      <w:pPr>
        <w:ind w:firstLine="567"/>
        <w:jc w:val="both"/>
        <w:rPr>
          <w:lang w:val="ru-RU"/>
        </w:rPr>
      </w:pPr>
      <w:r>
        <w:rPr>
          <w:lang w:val="ru-RU"/>
        </w:rPr>
        <w:t>– при использовании физического носителя электронной подписи — установленное программное обеспечение и драйверы соответствующего средства хранения ключевой информации (Рутокен, JaCarta и иные поддерживаемые носители);</w:t>
      </w:r>
    </w:p>
    <w:p w14:paraId="14B5ED02" w14:textId="77777777" w:rsidR="00686281" w:rsidRDefault="00000000">
      <w:pPr>
        <w:ind w:firstLine="567"/>
        <w:jc w:val="both"/>
        <w:rPr>
          <w:lang w:val="ru-RU"/>
        </w:rPr>
      </w:pPr>
      <w:r>
        <w:rPr>
          <w:lang w:val="ru-RU"/>
        </w:rPr>
        <w:t>– программное обеспечение для просмотра и обработки документов, в том числе документов в форматах PDF, DOC/DOCX, XLS/XLSX (но не ограничиваясь);</w:t>
      </w:r>
    </w:p>
    <w:p w14:paraId="22521502" w14:textId="77777777" w:rsidR="00686281" w:rsidRDefault="00000000">
      <w:pPr>
        <w:ind w:firstLine="567"/>
        <w:jc w:val="both"/>
        <w:rPr>
          <w:lang w:val="ru-RU"/>
        </w:rPr>
      </w:pPr>
      <w:r>
        <w:rPr>
          <w:lang w:val="ru-RU"/>
        </w:rPr>
        <w:t>– программное обеспечение для работы с архивами ZIP, RAR (но не ограничиваясь) и иными форматами, поддерживаемыми Личным кабинетом;</w:t>
      </w:r>
    </w:p>
    <w:p w14:paraId="41FCB8CE" w14:textId="77777777" w:rsidR="00686281" w:rsidRDefault="00000000">
      <w:pPr>
        <w:ind w:firstLine="567"/>
        <w:jc w:val="both"/>
        <w:rPr>
          <w:lang w:val="ru-RU"/>
        </w:rPr>
      </w:pPr>
      <w:r>
        <w:rPr>
          <w:lang w:val="ru-RU"/>
        </w:rPr>
        <w:t>– отсутствие ограничений со стороны локального программного обеспечения, межсетевого экрана, прокси-сервера или корпоративной сети, препятствующих установлению защищенного соединения с информационными ресурсами Оператора, передаче файлов и использованию электронной подписи;</w:t>
      </w:r>
    </w:p>
    <w:p w14:paraId="174A90D4" w14:textId="77777777" w:rsidR="00686281" w:rsidRDefault="00000000">
      <w:pPr>
        <w:ind w:firstLine="567"/>
        <w:jc w:val="both"/>
        <w:rPr>
          <w:lang w:val="ru-RU"/>
        </w:rPr>
      </w:pPr>
      <w:r>
        <w:rPr>
          <w:lang w:val="ru-RU"/>
        </w:rPr>
        <w:t>– антивирусное программное обеспечение с актуальными базами и средствами защиты рабочего места.</w:t>
      </w:r>
    </w:p>
    <w:p w14:paraId="22A2CE43" w14:textId="77777777" w:rsidR="00686281" w:rsidRDefault="00000000">
      <w:pPr>
        <w:ind w:firstLine="567"/>
        <w:jc w:val="both"/>
        <w:rPr>
          <w:lang w:val="ru-RU"/>
        </w:rPr>
      </w:pPr>
      <w:r>
        <w:rPr>
          <w:lang w:val="ru-RU"/>
        </w:rPr>
        <w:t xml:space="preserve">2.11. При возникновении вопросов при входе и работе в Личном кабинете Пользователь обращается в службу поддержки Оператора по адресам электронной почты: </w:t>
      </w:r>
      <w:hyperlink r:id="rId12" w:tooltip="mailto:support@stan-torgi.ru" w:history="1">
        <w:r w:rsidR="00686281">
          <w:rPr>
            <w:rStyle w:val="afff0"/>
            <w:lang w:val="ru-RU"/>
          </w:rPr>
          <w:t>support@stan-torgi.ru</w:t>
        </w:r>
      </w:hyperlink>
      <w:r>
        <w:rPr>
          <w:lang w:val="ru-RU"/>
        </w:rPr>
        <w:t xml:space="preserve">, </w:t>
      </w:r>
      <w:hyperlink r:id="rId13" w:tooltip="mailto:info@stan-torgi.ru" w:history="1">
        <w:r w:rsidR="00686281">
          <w:rPr>
            <w:rStyle w:val="afff0"/>
            <w:lang w:val="ru-RU"/>
          </w:rPr>
          <w:t>info@stan-torgi.ru</w:t>
        </w:r>
      </w:hyperlink>
      <w:r>
        <w:rPr>
          <w:lang w:val="ru-RU"/>
        </w:rPr>
        <w:t>, или по телефону, указанному на сайте Оператора.</w:t>
      </w:r>
    </w:p>
    <w:p w14:paraId="5ACFB17C" w14:textId="77777777" w:rsidR="00686281" w:rsidRDefault="00000000">
      <w:pPr>
        <w:spacing w:before="200"/>
        <w:ind w:firstLine="567"/>
        <w:jc w:val="both"/>
        <w:rPr>
          <w:lang w:val="ru-RU"/>
        </w:rPr>
      </w:pPr>
      <w:r>
        <w:rPr>
          <w:b/>
          <w:sz w:val="24"/>
          <w:lang w:val="ru-RU"/>
        </w:rPr>
        <w:lastRenderedPageBreak/>
        <w:t>3. Структура Личного кабинета (разделы, навигация)</w:t>
      </w:r>
    </w:p>
    <w:p w14:paraId="6CD8D762" w14:textId="77777777" w:rsidR="00686281" w:rsidRDefault="00000000">
      <w:pPr>
        <w:ind w:firstLine="567"/>
        <w:jc w:val="both"/>
        <w:rPr>
          <w:lang w:val="ru-RU"/>
        </w:rPr>
      </w:pPr>
      <w:r>
        <w:rPr>
          <w:lang w:val="ru-RU"/>
        </w:rPr>
        <w:t>3.1. Навигационное меню Личного кабинета состоит из групп разделов. Группа «Кабинет» отображается всем Пользователям независимо от роли их организаций и включает разделы:</w:t>
      </w:r>
    </w:p>
    <w:p w14:paraId="55CBB5AC" w14:textId="77777777" w:rsidR="00686281" w:rsidRDefault="00000000">
      <w:pPr>
        <w:ind w:firstLine="567"/>
        <w:jc w:val="both"/>
        <w:rPr>
          <w:lang w:val="ru-RU"/>
        </w:rPr>
      </w:pPr>
      <w:r>
        <w:rPr>
          <w:lang w:val="ru-RU"/>
        </w:rPr>
        <w:t>а) «Обзор» — сводная страница: активная компания и переключатель активной компании (пункт 3.6 настоящего Руководства), активные закупки, поданные заявки, предварительные предложения, список компаний, последние сообщения и состояние подписки;</w:t>
      </w:r>
    </w:p>
    <w:p w14:paraId="0305770F" w14:textId="77777777" w:rsidR="00686281" w:rsidRDefault="00000000">
      <w:pPr>
        <w:ind w:firstLine="567"/>
        <w:jc w:val="both"/>
        <w:rPr>
          <w:lang w:val="ru-RU"/>
        </w:rPr>
      </w:pPr>
      <w:r>
        <w:rPr>
          <w:lang w:val="ru-RU"/>
        </w:rPr>
        <w:t>б) «Компании» — добавление организаций и заявки на присоединение к организациям, редактирование карточек организаций, страница «Сотрудники компании» (разделы 4, 5 настоящего Руководства);</w:t>
      </w:r>
    </w:p>
    <w:p w14:paraId="03B51953" w14:textId="77777777" w:rsidR="00686281" w:rsidRDefault="00000000">
      <w:pPr>
        <w:ind w:firstLine="567"/>
        <w:jc w:val="both"/>
        <w:rPr>
          <w:lang w:val="ru-RU"/>
        </w:rPr>
      </w:pPr>
      <w:r>
        <w:rPr>
          <w:lang w:val="ru-RU"/>
        </w:rPr>
        <w:t>в) «Электронная подпись» — привязка сертификатов КЭП к учётной записи и их отвязка (пункт 5.11 настоящего Руководства);</w:t>
      </w:r>
    </w:p>
    <w:p w14:paraId="55993256" w14:textId="77777777" w:rsidR="00686281" w:rsidRDefault="00000000">
      <w:pPr>
        <w:ind w:firstLine="567"/>
        <w:jc w:val="both"/>
        <w:rPr>
          <w:lang w:val="ru-RU"/>
        </w:rPr>
      </w:pPr>
      <w:r>
        <w:rPr>
          <w:lang w:val="ru-RU"/>
        </w:rPr>
        <w:t>г) «Уведомления» — лента уведомлений о событиях, касающихся Пользователя и его организаций (пункт 9.2 настоящего Руководства);</w:t>
      </w:r>
    </w:p>
    <w:p w14:paraId="712CEC04" w14:textId="77777777" w:rsidR="00686281" w:rsidRDefault="00000000">
      <w:pPr>
        <w:ind w:firstLine="567"/>
        <w:jc w:val="both"/>
        <w:rPr>
          <w:lang w:val="ru-RU"/>
        </w:rPr>
      </w:pPr>
      <w:r>
        <w:rPr>
          <w:lang w:val="ru-RU"/>
        </w:rPr>
        <w:t>д) «Сообщения» — служба информационного обмена между Пользователями (пункт 9.1 настоящего Руководства);</w:t>
      </w:r>
    </w:p>
    <w:p w14:paraId="63673DC0" w14:textId="77777777" w:rsidR="00686281" w:rsidRDefault="00000000">
      <w:pPr>
        <w:ind w:firstLine="567"/>
        <w:jc w:val="both"/>
        <w:rPr>
          <w:lang w:val="ru-RU"/>
        </w:rPr>
      </w:pPr>
      <w:r>
        <w:rPr>
          <w:lang w:val="ru-RU"/>
        </w:rPr>
        <w:t xml:space="preserve">е) «Реестр договоров» — договоры, заключаемые по итогам Процедур организациями Пользователя в качестве заказчика или поставщика: просмотр, подписание КЭП, обмен редакциями файла договора в бумажной форме и отметка о его подписании на бумаге, дополнительные соглашения, статус договора и сведения о его размещении в реестре договоров ЕИС (Руководство Организатора процедур, Руководство Участника процедур);</w:t>
      </w:r>
    </w:p>
    <w:p w14:paraId="0AB8E8F6" w14:textId="77777777" w:rsidR="00686281" w:rsidRDefault="00000000">
      <w:pPr>
        <w:ind w:firstLine="567"/>
        <w:jc w:val="both"/>
        <w:rPr>
          <w:lang w:val="ru-RU"/>
        </w:rPr>
      </w:pPr>
      <w:r>
        <w:rPr>
          <w:lang w:val="ru-RU"/>
        </w:rPr>
        <w:t>ж) «Лицевой счёт» — лицевой счёт организации: пополнение, обеспечение заявок, вывод средств, банковские реквизиты и история операций (раздел 6 настоящего Руководства).</w:t>
      </w:r>
    </w:p>
    <w:p w14:paraId="72CDE2A8" w14:textId="77777777" w:rsidR="00686281" w:rsidRDefault="00000000">
      <w:pPr>
        <w:ind w:firstLine="567"/>
        <w:jc w:val="both"/>
        <w:rPr>
          <w:lang w:val="ru-RU"/>
        </w:rPr>
      </w:pPr>
      <w:r>
        <w:rPr>
          <w:lang w:val="ru-RU"/>
        </w:rPr>
        <w:t>3.2. Группа «ЭТП Заказчик» отображается Пользователю, у которого есть организация с ролью «Заказчик», и включает разделы:</w:t>
      </w:r>
    </w:p>
    <w:p w14:paraId="5F7D3733" w14:textId="77777777" w:rsidR="00686281" w:rsidRDefault="00000000">
      <w:pPr>
        <w:ind w:firstLine="567"/>
        <w:jc w:val="both"/>
        <w:rPr>
          <w:lang w:val="ru-RU"/>
        </w:rPr>
      </w:pPr>
      <w:r>
        <w:rPr>
          <w:lang w:val="ru-RU"/>
        </w:rPr>
        <w:t>а) «Закупки» — подготовка, размещение и проведение Процедур, работа с заявками, протоколами и договорами;</w:t>
      </w:r>
    </w:p>
    <w:p w14:paraId="61BB7638" w14:textId="77777777" w:rsidR="00686281" w:rsidRDefault="00000000">
      <w:pPr>
        <w:ind w:firstLine="567"/>
        <w:jc w:val="both"/>
        <w:rPr>
          <w:lang w:val="ru-RU"/>
        </w:rPr>
      </w:pPr>
      <w:r>
        <w:rPr>
          <w:lang w:val="ru-RU"/>
        </w:rPr>
        <w:t>б) «План закупок» — план закупок организации, в том числе полученный из ЕИС, и его выгрузка;</w:t>
      </w:r>
    </w:p>
    <w:p w14:paraId="6FB32240" w14:textId="77777777" w:rsidR="00686281" w:rsidRDefault="00000000">
      <w:pPr>
        <w:ind w:firstLine="567"/>
        <w:jc w:val="both"/>
        <w:rPr>
          <w:lang w:val="ru-RU"/>
        </w:rPr>
      </w:pPr>
      <w:r>
        <w:rPr>
          <w:lang w:val="ru-RU"/>
        </w:rPr>
        <w:t>в) «Положения о закупке» — Положения о закупке организации-заказчика;</w:t>
      </w:r>
    </w:p>
    <w:p w14:paraId="4635DE45" w14:textId="77777777" w:rsidR="00686281" w:rsidRDefault="00000000">
      <w:pPr>
        <w:ind w:firstLine="567"/>
        <w:jc w:val="both"/>
        <w:rPr>
          <w:lang w:val="ru-RU"/>
        </w:rPr>
      </w:pPr>
      <w:r>
        <w:rPr>
          <w:lang w:val="ru-RU"/>
        </w:rPr>
        <w:t>г) «Комиссии» — закупочные комиссии и их состав;</w:t>
      </w:r>
    </w:p>
    <w:p w14:paraId="1B9CE1FF" w14:textId="77777777" w:rsidR="00686281" w:rsidRDefault="00000000">
      <w:pPr>
        <w:ind w:firstLine="567"/>
        <w:jc w:val="both"/>
        <w:rPr>
          <w:lang w:val="ru-RU"/>
        </w:rPr>
      </w:pPr>
      <w:r>
        <w:rPr>
          <w:lang w:val="ru-RU"/>
        </w:rPr>
        <w:t>д) «Перечни поставщиков» — перечни квалифицированных поставщиков для закупок с ограниченным участием;</w:t>
      </w:r>
    </w:p>
    <w:p w14:paraId="6C96C0CF" w14:textId="77777777" w:rsidR="00686281" w:rsidRDefault="00000000">
      <w:pPr>
        <w:ind w:firstLine="567"/>
        <w:jc w:val="both"/>
        <w:rPr>
          <w:lang w:val="ru-RU"/>
        </w:rPr>
      </w:pPr>
      <w:r>
        <w:rPr>
          <w:lang w:val="ru-RU"/>
        </w:rPr>
        <w:t>е) «Связи организаций» — организации, осуществляющие закупки в интересах заказчика (организаторы), и заказчики, которых можно включать созаказчиками в совместные закупки;</w:t>
      </w:r>
    </w:p>
    <w:p w14:paraId="6E6FC8D9" w14:textId="77777777" w:rsidR="00686281" w:rsidRDefault="00000000">
      <w:pPr>
        <w:ind w:firstLine="567"/>
        <w:jc w:val="both"/>
        <w:rPr>
          <w:lang w:val="ru-RU"/>
        </w:rPr>
      </w:pPr>
      <w:r>
        <w:rPr>
          <w:lang w:val="ru-RU"/>
        </w:rPr>
        <w:t>ж) «Профиль заказчика» — сведения об организации-заказчике для обмена с ЕИС;</w:t>
      </w:r>
    </w:p>
    <w:p w14:paraId="51790C37" w14:textId="77777777" w:rsidR="00686281" w:rsidRDefault="00000000">
      <w:pPr>
        <w:ind w:firstLine="567"/>
        <w:jc w:val="both"/>
        <w:rPr>
          <w:lang w:val="ru-RU"/>
        </w:rPr>
      </w:pPr>
      <w:r>
        <w:rPr>
          <w:lang w:val="ru-RU"/>
        </w:rPr>
        <w:t>з) «Интеграция с ЕИС» — учётная запись организации в ЕИС и режим обмена сведениями.</w:t>
      </w:r>
    </w:p>
    <w:p w14:paraId="2BD67CAA" w14:textId="77777777" w:rsidR="00686281" w:rsidRDefault="00000000">
      <w:pPr>
        <w:ind w:firstLine="567"/>
        <w:jc w:val="both"/>
        <w:rPr>
          <w:lang w:val="ru-RU"/>
        </w:rPr>
      </w:pPr>
      <w:r>
        <w:rPr>
          <w:lang w:val="ru-RU"/>
        </w:rPr>
        <w:t>3.3. Группа «ЭТП · Поставщик» отображается Пользователю, у которого есть организация с ролью «Поставщик», и включает разделы:</w:t>
      </w:r>
    </w:p>
    <w:p w14:paraId="5E7941B3" w14:textId="77777777" w:rsidR="00686281" w:rsidRDefault="00000000">
      <w:pPr>
        <w:ind w:firstLine="567"/>
        <w:jc w:val="both"/>
        <w:rPr>
          <w:lang w:val="ru-RU"/>
        </w:rPr>
      </w:pPr>
      <w:r>
        <w:rPr>
          <w:lang w:val="ru-RU"/>
        </w:rPr>
        <w:t>а) «Мои заявки» — заявки на участие в Процедурах, их изменение, замена и отзыв;</w:t>
      </w:r>
    </w:p>
    <w:p w14:paraId="6CDA55DA" w14:textId="77777777" w:rsidR="00686281" w:rsidRDefault="00000000">
      <w:pPr>
        <w:ind w:firstLine="567"/>
        <w:jc w:val="both"/>
        <w:rPr>
          <w:lang w:val="ru-RU"/>
        </w:rPr>
      </w:pPr>
      <w:r>
        <w:rPr>
          <w:lang w:val="ru-RU"/>
        </w:rPr>
        <w:t>б) «Аккредитация поставщика» — полномочия представителя, машиночитаемые доверенности и заявка на аккредитацию (пункт 5.5 настоящего Руководства);</w:t>
      </w:r>
    </w:p>
    <w:p w14:paraId="0F1C86A2" w14:textId="77777777" w:rsidR="00686281" w:rsidRDefault="00000000">
      <w:pPr>
        <w:ind w:firstLine="567"/>
        <w:jc w:val="both"/>
        <w:rPr>
          <w:lang w:val="ru-RU"/>
        </w:rPr>
      </w:pPr>
      <w:r>
        <w:rPr>
          <w:lang w:val="ru-RU"/>
        </w:rPr>
        <w:lastRenderedPageBreak/>
        <w:t>в) «Предварительные предложения» — размещение Объявлений (предварительных предложений) для закупок способом «Электронный магазин» в пределах лимитов подписки (раздел 7 настоящего Руководства).</w:t>
      </w:r>
    </w:p>
    <w:p w14:paraId="5465A0D5" w14:textId="77777777" w:rsidR="00686281" w:rsidRDefault="00000000">
      <w:pPr>
        <w:ind w:firstLine="567"/>
        <w:jc w:val="both"/>
        <w:rPr>
          <w:lang w:val="ru-RU"/>
        </w:rPr>
      </w:pPr>
      <w:r>
        <w:rPr>
          <w:lang w:val="ru-RU"/>
        </w:rPr>
        <w:t>3.4. Группа «B2B Маркетплейс» отображается Пользователю при действующей подписке либо после подключения модуля Оператором и включает разделы «Мои товары» (для организации-поставщика), «Магазин предложений» (для организации-заказчика) и «Заказы магазина». Модуль «B2B Маркетплейс» является дополнительным сервисом Системы и используется независимо от работы на ЭТП.</w:t>
      </w:r>
    </w:p>
    <w:p w14:paraId="59D7FD1E" w14:textId="77777777" w:rsidR="00686281" w:rsidRDefault="00000000">
      <w:pPr>
        <w:ind w:firstLine="567"/>
        <w:jc w:val="both"/>
        <w:rPr>
          <w:lang w:val="ru-RU"/>
        </w:rPr>
      </w:pPr>
      <w:r>
        <w:rPr>
          <w:lang w:val="ru-RU"/>
        </w:rPr>
        <w:t xml:space="preserve">3.5. Группа «Сервисы» включает раздел «Калькуляторы»: </w:t>
      </w:r>
      <w:bookmarkStart w:id="0" w:name="_Hlk240474857"/>
      <w:r>
        <w:rPr>
          <w:lang w:val="ru-RU"/>
        </w:rPr>
        <w:t>сроки закупки по 223-ФЗ, сроки размещения протокола и заключения договора, календарные и рабочие дни с учётом производственного календаря, обоснование начальной (максимальной) цены договора методом сопоставимых рыночных цен с формированием печатной формы, расчет НДС, сумма прописью, пеня за просрочку исполнения обязательств</w:t>
      </w:r>
      <w:bookmarkEnd w:id="0"/>
      <w:r>
        <w:rPr>
          <w:lang w:val="ru-RU"/>
        </w:rPr>
        <w:t>. Результаты расчётов носят справочный характер. Группа «Аккаунт» включает раздел «Подписка» (раздел 7 настоящего Руководства) и пункт «Выйти».</w:t>
      </w:r>
    </w:p>
    <w:p w14:paraId="4E165DC3" w14:textId="77777777" w:rsidR="00686281" w:rsidRDefault="00000000">
      <w:pPr>
        <w:ind w:firstLine="567"/>
        <w:jc w:val="both"/>
        <w:rPr>
          <w:lang w:val="ru-RU"/>
        </w:rPr>
      </w:pPr>
      <w:r>
        <w:rPr>
          <w:lang w:val="ru-RU"/>
        </w:rPr>
        <w:t>3.6. Переход между разделами Личного кабинета осуществляется средствами навигационного меню. Если учётная запись связана с несколькими организациями, активная компания выбирается на странице «Обзор» в поле «Активная компания»; сведения разделов «Лицевой счёт» и иных разделов, работающих с одной организацией, отображаются по активной компании. Разделы групп «ЭТП · Заказчик» и «ЭТП · Поставщик» используют организацию соответствующей роли, даже если активной выбрана организация другой роли. При отсутствии у Пользователя организации нужной роли Система направляет его в раздел «Компании» для её добавления.</w:t>
      </w:r>
    </w:p>
    <w:p w14:paraId="4B17D0F7" w14:textId="77777777" w:rsidR="00686281" w:rsidRDefault="00000000">
      <w:pPr>
        <w:ind w:firstLine="567"/>
        <w:jc w:val="both"/>
        <w:rPr>
          <w:lang w:val="ru-RU"/>
        </w:rPr>
      </w:pPr>
      <w:r>
        <w:rPr>
          <w:lang w:val="ru-RU"/>
        </w:rPr>
        <w:t>3.7. Работа на ЭТП осуществляется в секциях Системы: «Коммерческие закупки», «Закупки по 223-ФЗ», «Продажа», а также в иных индивидуальных секциях. Процедуры в секции «Закупки по 223-ФЗ» размещаются и проводятся без подписки.</w:t>
      </w:r>
      <w:r>
        <w:rPr>
          <w:color w:val="FF0000"/>
          <w:lang w:val="ru-RU"/>
        </w:rPr>
        <w:t xml:space="preserve"> Процедуры в секции «Закупки по 223-ФЗ» проводятся исключительно в открытой форме; закрытые процедуры закупки в этой секции на ЭТП не проводятся.</w:t>
      </w:r>
      <w:r>
        <w:rPr>
          <w:lang w:val="ru-RU"/>
        </w:rPr>
        <w:t xml:space="preserve"> Процедуры в секциях «Коммерческие закупки» и «Продажа» доступны для просмотра всем Пользователям, а размещение Процедур и подача заявок в этих секциях — при действующей подписке (раздел 7 настоящего Руководства). Перечень секций и их функциональных возможностей приведён в Общем описании функциональных возможностей (Приложение № 2 к Соглашению).</w:t>
      </w:r>
    </w:p>
    <w:p w14:paraId="6BB86660" w14:textId="77777777" w:rsidR="00686281" w:rsidRDefault="00000000">
      <w:pPr>
        <w:ind w:firstLine="567"/>
        <w:jc w:val="both"/>
        <w:rPr>
          <w:lang w:val="ru-RU"/>
        </w:rPr>
      </w:pPr>
      <w:r>
        <w:rPr>
          <w:lang w:val="ru-RU"/>
        </w:rPr>
        <w:t>3.8. Разделы групп «ЭТП Заказчик» и «ЭТП Поставщик» используются Организатором процедур и Участником процедуры; порядок работы в указанных разделах установлен Руководством Организатора процедур (Приложение № 6 к Соглашению) и Руководством Участника процедур (Приложение № 7 к Соглашению).</w:t>
      </w:r>
    </w:p>
    <w:p w14:paraId="1C3C5821" w14:textId="77777777" w:rsidR="00686281" w:rsidRDefault="00000000">
      <w:pPr>
        <w:ind w:firstLine="567"/>
        <w:jc w:val="both"/>
        <w:rPr>
          <w:lang w:val="ru-RU"/>
        </w:rPr>
      </w:pPr>
      <w:r>
        <w:rPr>
          <w:lang w:val="ru-RU"/>
        </w:rPr>
        <w:t>3.9. Разделы «Предварительные предложения» и «Мои товары», а также карточка организации заполняются Пользователем (сотрудниками его организации). Пользователь обязан своевременно обновлять информацию о предлагаемых и (или) потребляемых им товарах, работах, услугах (подпункт «б» пункта 6.2 Соглашения).</w:t>
      </w:r>
    </w:p>
    <w:p w14:paraId="520DA927" w14:textId="77777777" w:rsidR="00686281" w:rsidRDefault="00000000">
      <w:pPr>
        <w:ind w:firstLine="567"/>
        <w:jc w:val="both"/>
        <w:rPr>
          <w:lang w:val="ru-RU"/>
        </w:rPr>
      </w:pPr>
      <w:r>
        <w:rPr>
          <w:lang w:val="ru-RU"/>
        </w:rPr>
        <w:t>3.10. Средствами Личного кабинета Пользователь вправе выгружать план закупок и заявки на участие в проведённых им Процедурах, получать печатные формы протоколов и договоров, пользоваться калькулятором обоснования начальной (максимальной) цены договора и каталогом предварительных предложений поставщиков (Руководство Организатора процедур).</w:t>
      </w:r>
    </w:p>
    <w:p w14:paraId="711F1BBA" w14:textId="77777777" w:rsidR="00686281" w:rsidRDefault="00000000">
      <w:pPr>
        <w:spacing w:before="200"/>
        <w:ind w:firstLine="567"/>
        <w:jc w:val="both"/>
        <w:rPr>
          <w:lang w:val="ru-RU"/>
        </w:rPr>
      </w:pPr>
      <w:r>
        <w:rPr>
          <w:b/>
          <w:sz w:val="24"/>
          <w:lang w:val="ru-RU"/>
        </w:rPr>
        <w:t>4. Управление пользователями (Основной и дополнительные пользователи, роль организации, роли сотрудников)</w:t>
      </w:r>
    </w:p>
    <w:p w14:paraId="51779140" w14:textId="77777777" w:rsidR="00686281" w:rsidRDefault="00000000">
      <w:pPr>
        <w:ind w:firstLine="567"/>
        <w:jc w:val="both"/>
        <w:rPr>
          <w:lang w:val="ru-RU"/>
        </w:rPr>
      </w:pPr>
      <w:r>
        <w:rPr>
          <w:lang w:val="ru-RU"/>
        </w:rPr>
        <w:lastRenderedPageBreak/>
        <w:t>4.1. Основной пользователь — физическое лицо, имеющее в организации роль «Владелец»: как правило, лицо, добавившее организацию в Личном кабинете; принимает заявки сотрудников на присоединение к организации (Приложение № 1 к Соглашению). Полномочия Основного пользователя в отношении организации осуществляются учётной записью с ролью «Владелец».</w:t>
      </w:r>
    </w:p>
    <w:p w14:paraId="730C26A1" w14:textId="77777777" w:rsidR="00686281" w:rsidRDefault="00000000">
      <w:pPr>
        <w:ind w:firstLine="567"/>
        <w:jc w:val="both"/>
        <w:rPr>
          <w:lang w:val="ru-RU"/>
        </w:rPr>
      </w:pPr>
      <w:r>
        <w:rPr>
          <w:lang w:val="ru-RU"/>
        </w:rPr>
        <w:t>4.2. Дополнительный пользователь (сотрудник) — физическое лицо, самостоятельно зарегистрировавшее учётную запись и присоединённое к организации по его заявке, принятой владельцем или закупщиком организации либо Оператором; действует от имени и в интересах организации в пределах своей роли (Приложение № 1 к Соглашению). В Системе дополнительными пользователями являются учётные записи, присоединённые к организации с ролями «Закупщик», «Член комиссии» или «Сотрудник».</w:t>
      </w:r>
    </w:p>
    <w:p w14:paraId="3432DB49" w14:textId="77777777" w:rsidR="00686281" w:rsidRDefault="00000000">
      <w:pPr>
        <w:ind w:firstLine="567"/>
        <w:jc w:val="both"/>
        <w:rPr>
          <w:lang w:val="ru-RU"/>
        </w:rPr>
      </w:pPr>
      <w:r>
        <w:rPr>
          <w:lang w:val="ru-RU"/>
        </w:rPr>
        <w:t>4.3. При добавлении организации Пользователь выбирает её роль переключателем «Регистрирую как»: «Заказчик» или «Поставщик». Статусу «Участник», используемому в Соглашении и приложениях к нему, в интерфейсе Личного кабинета соответствует роль «Поставщик». Организация имеет одну роль; для работы в обеих ролях Пользователь добавляет вторую организацию, при этом одна учётная запись может быть связана с организациями обеих ролей (пункт 3.3 Соглашения, Правила регистрации и аккредитации Пользователей):</w:t>
      </w:r>
    </w:p>
    <w:p w14:paraId="1E134F78" w14:textId="77777777" w:rsidR="00686281" w:rsidRDefault="00000000">
      <w:pPr>
        <w:ind w:firstLine="567"/>
        <w:jc w:val="both"/>
        <w:rPr>
          <w:lang w:val="ru-RU"/>
        </w:rPr>
      </w:pPr>
      <w:r>
        <w:rPr>
          <w:lang w:val="ru-RU"/>
        </w:rPr>
        <w:t>а) организация с ролью «Заказчик» — организация Процедур закупки в секциях «Коммерческие закупки» и «Закупки по 223-ФЗ», участие в Процедурах продажи в качестве покупателя; аккредитация не требуется, достаточно прохождения модерации карточки организации (пункт 5.3 настоящего Руководства);</w:t>
      </w:r>
    </w:p>
    <w:p w14:paraId="65DC812A" w14:textId="77777777" w:rsidR="00686281" w:rsidRDefault="00000000">
      <w:pPr>
        <w:ind w:firstLine="567"/>
        <w:jc w:val="both"/>
        <w:rPr>
          <w:lang w:val="ru-RU"/>
        </w:rPr>
      </w:pPr>
      <w:r>
        <w:rPr>
          <w:lang w:val="ru-RU"/>
        </w:rPr>
        <w:t>б) организация с ролью «Поставщик» (Участник) — участие в Процедурах закупки в качестве поставщика, организация Процедур продажи в секции «Продажа» и размещение Объявлений (предварительных предложений); для подачи заявок на участие в Процедурах и запросов разъяснений необходима аккредитация (пункты 5.5–5.7 настоящего Руководства).</w:t>
      </w:r>
    </w:p>
    <w:p w14:paraId="5754088A" w14:textId="77777777" w:rsidR="00686281" w:rsidRDefault="00000000">
      <w:pPr>
        <w:ind w:firstLine="567"/>
        <w:jc w:val="both"/>
        <w:rPr>
          <w:lang w:val="ru-RU"/>
        </w:rPr>
      </w:pPr>
      <w:r>
        <w:rPr>
          <w:lang w:val="ru-RU"/>
        </w:rPr>
        <w:t>4.4. Лицо, действующее от имени организации, самостоятельно регистрирует учётную запись (пункт 2.1 настоящего Руководства), в разделе «Компании» нажимает кнопку «Создать компанию» и указывает ИНН организации. Если организация уже зарегистрирована в Системе, Пользователь выбирает свою роль в поле «Кем вы работаете в организации», при необходимости заполняет поле «Комментарий для закупщика или оператора» и нажимает кнопку «Отправить заявку на присоединение». Статус заявки и комментарий по ней отображаются в разделе «Компании».</w:t>
      </w:r>
    </w:p>
    <w:p w14:paraId="4DD87FA2" w14:textId="77777777" w:rsidR="00686281" w:rsidRDefault="00000000">
      <w:pPr>
        <w:ind w:firstLine="567"/>
        <w:jc w:val="both"/>
        <w:rPr>
          <w:lang w:val="ru-RU"/>
        </w:rPr>
      </w:pPr>
      <w:r>
        <w:rPr>
          <w:lang w:val="ru-RU"/>
        </w:rPr>
        <w:t>4.5. Заявку на присоединение рассматривает Владелец или Закупщик организации на странице «Сотрудники компании» (раздел «Компании», ссылка «Сотрудники») в блоке «Заявки на вступление» кнопкой «Принять» или кнопкой «Отклонить» с указанием причины отказа, либо Оператор. Количество сотрудников организации не ограничивается.</w:t>
      </w:r>
    </w:p>
    <w:p w14:paraId="05A53A1B" w14:textId="77777777" w:rsidR="00686281" w:rsidRDefault="00000000">
      <w:pPr>
        <w:ind w:firstLine="567"/>
        <w:jc w:val="both"/>
        <w:rPr>
          <w:lang w:val="ru-RU"/>
        </w:rPr>
      </w:pPr>
      <w:r>
        <w:rPr>
          <w:lang w:val="ru-RU"/>
        </w:rPr>
        <w:t>4.6. Роли сотрудников в организации:</w:t>
      </w:r>
    </w:p>
    <w:p w14:paraId="2EB2BF87" w14:textId="77777777" w:rsidR="00686281" w:rsidRDefault="00000000">
      <w:pPr>
        <w:ind w:firstLine="567"/>
        <w:jc w:val="both"/>
        <w:rPr>
          <w:lang w:val="ru-RU"/>
        </w:rPr>
      </w:pPr>
      <w:r>
        <w:rPr>
          <w:lang w:val="ru-RU"/>
        </w:rPr>
        <w:t>а) «Владелец» — все действия от имени организации, в том числе управление сотрудниками; Владелец не может быть исключён из организации, а его роль — изменена средствами Личного кабинета;</w:t>
      </w:r>
    </w:p>
    <w:p w14:paraId="1A6A6DD8" w14:textId="77777777" w:rsidR="00686281" w:rsidRDefault="00000000">
      <w:pPr>
        <w:ind w:firstLine="567"/>
        <w:jc w:val="both"/>
        <w:rPr>
          <w:lang w:val="ru-RU"/>
        </w:rPr>
      </w:pPr>
      <w:r>
        <w:rPr>
          <w:lang w:val="ru-RU"/>
        </w:rPr>
        <w:t>б) «Закупщик» — ведение закупок и иных действий от имени организации, приём и исключение сотрудников;</w:t>
      </w:r>
    </w:p>
    <w:p w14:paraId="0004BC1B" w14:textId="77777777" w:rsidR="00686281" w:rsidRDefault="00000000">
      <w:pPr>
        <w:ind w:firstLine="567"/>
        <w:jc w:val="both"/>
        <w:rPr>
          <w:lang w:val="ru-RU"/>
        </w:rPr>
      </w:pPr>
      <w:r>
        <w:rPr>
          <w:lang w:val="ru-RU"/>
        </w:rPr>
        <w:t>в) «Член комиссии» — участие в работе закупочной комиссии, в том числе подписание протоколов КЭП;</w:t>
      </w:r>
    </w:p>
    <w:p w14:paraId="50B119F8" w14:textId="77777777" w:rsidR="00686281" w:rsidRDefault="00000000">
      <w:pPr>
        <w:ind w:firstLine="567"/>
        <w:jc w:val="both"/>
        <w:rPr>
          <w:lang w:val="ru-RU"/>
        </w:rPr>
      </w:pPr>
      <w:r>
        <w:rPr>
          <w:lang w:val="ru-RU"/>
        </w:rPr>
        <w:t>г) «Сотрудник» — просмотр сведений организации.</w:t>
      </w:r>
    </w:p>
    <w:p w14:paraId="353E27D9" w14:textId="77777777" w:rsidR="00686281" w:rsidRDefault="00000000">
      <w:pPr>
        <w:ind w:firstLine="567"/>
        <w:jc w:val="both"/>
        <w:rPr>
          <w:lang w:val="ru-RU"/>
        </w:rPr>
      </w:pPr>
      <w:r>
        <w:rPr>
          <w:lang w:val="ru-RU"/>
        </w:rPr>
        <w:lastRenderedPageBreak/>
        <w:t>Роль сотрудника изменяется Владельцем или Закупщиком на странице «Сотрудники компании» (поле «Роль», кнопка «Сохранить»).</w:t>
      </w:r>
    </w:p>
    <w:p w14:paraId="2C8B6EA0" w14:textId="77777777" w:rsidR="00686281" w:rsidRDefault="00000000">
      <w:pPr>
        <w:ind w:firstLine="567"/>
        <w:jc w:val="both"/>
        <w:rPr>
          <w:lang w:val="ru-RU"/>
        </w:rPr>
      </w:pPr>
      <w:r>
        <w:rPr>
          <w:lang w:val="ru-RU"/>
        </w:rPr>
        <w:t>4.7. Юридически значимые действия в Личном кабинете (в том числе подача заявок на участие в Процедурах, подписание документов) совершаются с использованием КЭП соответствующего пользователя при наличии у него основания действовать от имени организации — сертификата КЭП руководителя (ИНН организации указан в сертификате) либо машиночитаемой доверенности (пункт 5.5 настоящего Руководства, пункт 5.2 Правил регистрации и аккредитации Пользователей).</w:t>
      </w:r>
    </w:p>
    <w:p w14:paraId="7C1FABD7" w14:textId="77777777" w:rsidR="00686281" w:rsidRDefault="00000000">
      <w:pPr>
        <w:ind w:firstLine="567"/>
        <w:jc w:val="both"/>
        <w:rPr>
          <w:lang w:val="ru-RU"/>
        </w:rPr>
      </w:pPr>
      <w:r>
        <w:rPr>
          <w:lang w:val="ru-RU"/>
        </w:rPr>
        <w:t>4.8. При направлении заявки на присоединение к организации и при принятии сотрудников Пользователь подтверждает, что предпринял все необходимые меры для обеспечения соблюдения прав лиц, чьи персональные данные передаются Оператору, и обладает достаточными законными основаниями для их передачи; каждый сотрудник при регистрации учётной записи выражает согласие на обработку персональных данных (пункт 8.6 Соглашения).</w:t>
      </w:r>
    </w:p>
    <w:p w14:paraId="66104E64" w14:textId="77777777" w:rsidR="00686281" w:rsidRDefault="00000000">
      <w:pPr>
        <w:ind w:firstLine="567"/>
        <w:jc w:val="both"/>
        <w:rPr>
          <w:lang w:val="ru-RU"/>
        </w:rPr>
      </w:pPr>
      <w:r>
        <w:rPr>
          <w:lang w:val="ru-RU"/>
        </w:rPr>
        <w:t>4.9. При прекращении полномочий сотрудника (увольнение, истечение срока доверенности, отзыв полномочий) Владелец или Закупщик организации обязан незамедлительно исключить его из организации кнопкой «Исключить» на странице «Сотрудники компании», отозвать выданную ему машиночитаемую доверенность и актуализировать сведения организации (пункт 5.4 настоящего Руководства).</w:t>
      </w:r>
    </w:p>
    <w:p w14:paraId="1A9C32C3" w14:textId="77777777" w:rsidR="00686281" w:rsidRDefault="00000000">
      <w:pPr>
        <w:spacing w:before="200"/>
        <w:ind w:firstLine="567"/>
        <w:jc w:val="both"/>
        <w:rPr>
          <w:lang w:val="ru-RU"/>
        </w:rPr>
      </w:pPr>
      <w:r>
        <w:rPr>
          <w:b/>
          <w:sz w:val="24"/>
          <w:lang w:val="ru-RU"/>
        </w:rPr>
        <w:t>5. Сведения и документы Пользователя (карточка организации, аккредитация поставщика, электронная подпись)</w:t>
      </w:r>
    </w:p>
    <w:p w14:paraId="755433E9" w14:textId="77777777" w:rsidR="00686281" w:rsidRDefault="00000000">
      <w:pPr>
        <w:ind w:firstLine="567"/>
        <w:jc w:val="both"/>
        <w:rPr>
          <w:lang w:val="ru-RU"/>
        </w:rPr>
      </w:pPr>
      <w:r>
        <w:rPr>
          <w:lang w:val="ru-RU"/>
        </w:rPr>
        <w:t>5.1. Организация (юридическое лицо или физическое лицо, в том числе индивидуальный предприниматель) добавляется в разделе «Компании» кнопкой «Создать компанию». Пользователь выбирает роль организации переключателем «Регистрирую как» (пункт 4.3 настоящего Руководства) и заполняет сведения по ИНН кнопкой «Найти по ИНН» (реквизиты заполняются из ЕГРЮЛ/ЕГРИП автоматически) либо по сертификату КЭП руководителя кнопкой «Заполнить по ЭЦП» (действие подписывается КЭП), после чего нажимает кнопку «Отправить на модерацию». При добавлении организации ей автоматически открывается лицевой счёт (пункт 6.1 настоящего Руководства).</w:t>
      </w:r>
    </w:p>
    <w:p w14:paraId="3A586004" w14:textId="77777777" w:rsidR="00686281" w:rsidRDefault="00000000">
      <w:pPr>
        <w:ind w:firstLine="567"/>
        <w:jc w:val="both"/>
        <w:rPr>
          <w:lang w:val="ru-RU"/>
        </w:rPr>
      </w:pPr>
      <w:r>
        <w:rPr>
          <w:lang w:val="ru-RU"/>
        </w:rPr>
        <w:t>5.2. Карточка организации содержит сведения: полное и сокращённое наименование, ИНН, КПП, ОГРН (ОГРНИП), дата регистрации, ОКВЭД, ОКПО, ОКТМО, ОКОПФ (заполняются из ЕГРЮЛ/ЕГРИП автоматически), руководитель, юридический адрес, почтовый адрес, контактное лицо, телефон, адрес электронной почты, сайт, регион, город, признак субъекта малого или среднего предпринимательства и категория субъекта МСП, описание. Банковские реквизиты организации указываются в разделе «Лицевой счёт» (пункт 6.9 настоящего Руководства).</w:t>
      </w:r>
    </w:p>
    <w:p w14:paraId="6B68425B" w14:textId="77777777" w:rsidR="00686281" w:rsidRDefault="00000000">
      <w:pPr>
        <w:ind w:firstLine="567"/>
        <w:jc w:val="both"/>
        <w:rPr>
          <w:lang w:val="ru-RU"/>
        </w:rPr>
      </w:pPr>
      <w:r>
        <w:rPr>
          <w:lang w:val="ru-RU"/>
        </w:rPr>
        <w:t>5.3. Карточка организации проходит модерацию Оператора. Изменение реквизитов осуществляется в разделе «Компании» по ссылке «Редактировать» с нажатием кнопки «Сохранить и отправить на модерацию»; после изменения реквизитов карточка повторно проходит модерацию. Организация, карточка которой находится на модерации, а также заблокированная организация не может размещать Процедуры и подавать заявки на участие в них.</w:t>
      </w:r>
    </w:p>
    <w:p w14:paraId="19C69326" w14:textId="77777777" w:rsidR="00686281" w:rsidRDefault="00000000">
      <w:pPr>
        <w:ind w:firstLine="567"/>
        <w:jc w:val="both"/>
        <w:rPr>
          <w:lang w:val="ru-RU"/>
        </w:rPr>
      </w:pPr>
      <w:r>
        <w:rPr>
          <w:lang w:val="ru-RU"/>
        </w:rPr>
        <w:t>5.4. Актуализация сведений и документов осуществляется средствами Личного кабинета. Пользователь обязан извещать Оператора о необходимости внесения изменений в реквизиты организации в течение 5 (пяти) календарных дней с момента изменения соответствующих реквизитов (подпункт «в» пункта 6.2 Соглашения) путём внесения изменений в карточку организации в порядке пункта 5.3 настоящего Руководства.</w:t>
      </w:r>
    </w:p>
    <w:p w14:paraId="7207D678" w14:textId="77777777" w:rsidR="00686281" w:rsidRDefault="00000000">
      <w:pPr>
        <w:ind w:firstLine="567"/>
        <w:jc w:val="both"/>
        <w:rPr>
          <w:lang w:val="ru-RU"/>
        </w:rPr>
      </w:pPr>
      <w:r>
        <w:rPr>
          <w:lang w:val="ru-RU"/>
        </w:rPr>
        <w:t>5.5. Аккредитация организации-поставщика осуществляется в разделе «Аккредитация поставщика» в следующем порядке:</w:t>
      </w:r>
    </w:p>
    <w:p w14:paraId="31BBA63E" w14:textId="77777777" w:rsidR="00686281" w:rsidRDefault="00000000">
      <w:pPr>
        <w:ind w:firstLine="567"/>
        <w:jc w:val="both"/>
        <w:rPr>
          <w:lang w:val="ru-RU"/>
        </w:rPr>
      </w:pPr>
      <w:r>
        <w:rPr>
          <w:lang w:val="ru-RU"/>
        </w:rPr>
        <w:lastRenderedPageBreak/>
        <w:t>а) в блоке «Полномочия представителя» Система отображает основание действовать от имени организации: сертификат КЭП руководителя, привязанный к учётной записи (ИНН организации указан в сертификате), либо машиночитаемая доверенность (далее — МЧД); без подтверждённого основания подача заявки на аккредитацию недоступна;</w:t>
      </w:r>
    </w:p>
    <w:p w14:paraId="06E55AB0" w14:textId="77777777" w:rsidR="00686281" w:rsidRDefault="00000000">
      <w:pPr>
        <w:ind w:firstLine="567"/>
        <w:jc w:val="both"/>
        <w:rPr>
          <w:lang w:val="ru-RU"/>
        </w:rPr>
      </w:pPr>
      <w:r>
        <w:rPr>
          <w:lang w:val="ru-RU"/>
        </w:rPr>
        <w:t>б) МЧД загружается в блоке «Мои доверенности»: файл доверенности в формате XML по формату ФНС России (поле «Машиночитаемая доверенность, XML») и при наличии — открепленная подпись доверителя (поле «Открепленная подпись доверителя, *.sig (необязательно)»), кнопка «Загрузить доверенность». Система сверяет ИНН доверителя с организацией, СНИЛС представителя с сертификатом КЭП и срок действия доверенности; доверенность рассматривает Оператор. Доверенность может быть отозвана ссылкой «Отозвать»;</w:t>
      </w:r>
    </w:p>
    <w:p w14:paraId="27D4D453" w14:textId="77777777" w:rsidR="00686281" w:rsidRDefault="00000000">
      <w:pPr>
        <w:ind w:firstLine="567"/>
        <w:jc w:val="both"/>
        <w:rPr>
          <w:lang w:val="ru-RU"/>
        </w:rPr>
      </w:pPr>
      <w:r>
        <w:rPr>
          <w:lang w:val="ru-RU"/>
        </w:rPr>
        <w:t>в) в блоке «Заявка на аккредитацию» Пользователь прикладывает документы, предусмотренные Перечнем документов и сведений, необходимых для прохождения процедуры аккредитации (приложение к Правилам регистрации и аккредитации Пользователей), в поле «Документы для аккредитации» (до 50 МБ каждый) и нажимает кнопку «Подать заявку на аккредитацию». Заявка на аккредитацию электронной подписью не подписывается;</w:t>
      </w:r>
    </w:p>
    <w:p w14:paraId="2AE24B72" w14:textId="77777777" w:rsidR="00686281" w:rsidRDefault="00000000">
      <w:pPr>
        <w:ind w:firstLine="567"/>
        <w:jc w:val="both"/>
        <w:rPr>
          <w:lang w:val="ru-RU"/>
        </w:rPr>
      </w:pPr>
      <w:r>
        <w:rPr>
          <w:lang w:val="ru-RU"/>
        </w:rPr>
        <w:t>г) при необходимости ускоренного рассмотрения Пользователь проставляет в заявке на аккредитацию отметку об ускоренном рассмотрении; на оплату услуги формируется счёт в соответствии с Тарифами Оператора (Приложение № 8 к Соглашению).</w:t>
      </w:r>
    </w:p>
    <w:p w14:paraId="46751F58" w14:textId="77777777" w:rsidR="00686281" w:rsidRDefault="00000000">
      <w:pPr>
        <w:ind w:firstLine="567"/>
        <w:jc w:val="both"/>
        <w:rPr>
          <w:lang w:val="ru-RU"/>
        </w:rPr>
      </w:pPr>
      <w:r>
        <w:rPr>
          <w:lang w:val="ru-RU"/>
        </w:rPr>
        <w:t>5.6. Стандартная аккредитация осуществляется без взимания платы, срок рассмотрения заявки — до 5 (пяти) рабочих дней. Заявка с отметкой об ускоренном рассмотрении рассматривается в течение 1 (одного) рабочего дня после оплаты счёта. Решение Оператора (аккредитация либо отказ с указанием причины) направляется в Личный кабинет и на адрес электронной почты учётных записей организации. После отказа заявка может быть подана повторно кнопкой «Подать заявку повторно».</w:t>
      </w:r>
    </w:p>
    <w:p w14:paraId="16403F06" w14:textId="77777777" w:rsidR="00686281" w:rsidRDefault="00000000">
      <w:pPr>
        <w:ind w:firstLine="567"/>
        <w:jc w:val="both"/>
        <w:rPr>
          <w:lang w:val="ru-RU"/>
        </w:rPr>
      </w:pPr>
      <w:r>
        <w:rPr>
          <w:lang w:val="ru-RU"/>
        </w:rPr>
        <w:t>5.7. Аккредитация действует бессрочно. Оператор вправе отозвать аккредитацию решением с указанием причины. При изменении ИНН, ОГРН или наименования организации аккредитация прекращается и требуется повторная аккредитация.</w:t>
      </w:r>
    </w:p>
    <w:p w14:paraId="39BE8AAB" w14:textId="77777777" w:rsidR="00686281" w:rsidRDefault="00000000">
      <w:pPr>
        <w:ind w:firstLine="567"/>
        <w:jc w:val="both"/>
        <w:rPr>
          <w:lang w:val="ru-RU"/>
        </w:rPr>
      </w:pPr>
      <w:r>
        <w:rPr>
          <w:lang w:val="ru-RU"/>
        </w:rPr>
        <w:t>5.8. Ответственность за достоверность представленных Оператору документов и сведений (в том числе сведений об электронной подписи и машиночитаемой доверенности), за соответствие их требованиям законодательства Российской Федерации, за своевременную актуализацию таких документов и сведений, их замену или прекращение их действия (в том числе замену электронной подписи или прекращение её действия) несёт Пользователь. Оператор не несёт ответственности за актуальность и достоверность документов и сведений, хранящихся в реестре Пользователей Системы (пункт 5.6 Правил регистрации и аккредитации Пользователей).</w:t>
      </w:r>
    </w:p>
    <w:p w14:paraId="5DDA9285" w14:textId="77777777" w:rsidR="00686281" w:rsidRDefault="00000000">
      <w:pPr>
        <w:ind w:firstLine="567"/>
        <w:jc w:val="both"/>
        <w:rPr>
          <w:lang w:val="ru-RU"/>
        </w:rPr>
      </w:pPr>
      <w:r>
        <w:rPr>
          <w:lang w:val="ru-RU"/>
        </w:rPr>
        <w:t>5.9. Пользователь несёт риски, связанные с неактуальностью сведений о нём (в том числе об Основном пользователе и дополнительных пользователях), размещённых в Личном кабинете (пункт 3.7 Соглашения).</w:t>
      </w:r>
    </w:p>
    <w:p w14:paraId="2533CE56" w14:textId="77777777" w:rsidR="00686281" w:rsidRDefault="00000000">
      <w:pPr>
        <w:ind w:firstLine="567"/>
        <w:jc w:val="both"/>
        <w:rPr>
          <w:lang w:val="ru-RU"/>
        </w:rPr>
      </w:pPr>
      <w:r>
        <w:rPr>
          <w:lang w:val="ru-RU"/>
        </w:rPr>
        <w:t>5.10. Сведения карточки организации и документы, представленные при аккредитации и её актуализации, используются в неизменном виде при формировании электронных документов, в том числе заявки на участие в Процедуре (пункт 5.5 Правил регистрации и аккредитации Пользователей). В связи с этим Пользователю рекомендуется актуализировать сведения до подачи заявок на участие в Процедурах.</w:t>
      </w:r>
    </w:p>
    <w:p w14:paraId="4F7F80CC" w14:textId="77777777" w:rsidR="00686281" w:rsidRDefault="00000000">
      <w:pPr>
        <w:ind w:firstLine="567"/>
        <w:jc w:val="both"/>
        <w:rPr>
          <w:lang w:val="ru-RU"/>
        </w:rPr>
      </w:pPr>
      <w:r>
        <w:rPr>
          <w:lang w:val="ru-RU"/>
        </w:rPr>
        <w:t xml:space="preserve">5.11. Сертификат КЭП привязывается к учётной записи самим Пользователем в разделе «Электронная подпись» кнопкой «Привязать сертификат» (при наличии привязанного сертификата — «Привязать другой сертификат»); действие подписывается КЭП. Привязанные сертификаты отображаются в блоке «Мои сертификаты» (владелец, кем выдан, срок действия, </w:t>
      </w:r>
      <w:r>
        <w:rPr>
          <w:lang w:val="ru-RU"/>
        </w:rPr>
        <w:lastRenderedPageBreak/>
        <w:t>статус) и могут быть отвязаны кнопкой «Отвязать». Сертификат может быть привязан только к одной учётной записи.</w:t>
      </w:r>
    </w:p>
    <w:p w14:paraId="697CFDDB" w14:textId="77777777" w:rsidR="00686281" w:rsidRDefault="00000000">
      <w:pPr>
        <w:ind w:firstLine="567"/>
        <w:jc w:val="both"/>
        <w:rPr>
          <w:lang w:val="ru-RU"/>
        </w:rPr>
      </w:pPr>
      <w:r>
        <w:rPr>
          <w:lang w:val="ru-RU"/>
        </w:rPr>
        <w:t>5.12. Замена электронной подписи: при замене электронной подписи (истечении срока действия сертификата) Пользователь привязывает сертификат новой КЭП в порядке пункта 5.11 настоящего Руководства; повторная аккредитация не требуется, за исключением случаев изменения ИНН, ОГРН или наименования организации (пункт 5.7 настоящего Руководства). При смене руководителя основание полномочий подтверждается сертификатом КЭП нового руководителя либо машиночитаемой доверенностью (пункт 5.5 настоящего Руководства).</w:t>
      </w:r>
    </w:p>
    <w:p w14:paraId="7B239C09" w14:textId="77777777" w:rsidR="00686281" w:rsidRDefault="00000000">
      <w:pPr>
        <w:spacing w:before="200"/>
        <w:ind w:firstLine="567"/>
        <w:jc w:val="both"/>
        <w:rPr>
          <w:lang w:val="ru-RU"/>
        </w:rPr>
      </w:pPr>
      <w:r>
        <w:rPr>
          <w:b/>
          <w:sz w:val="24"/>
          <w:lang w:val="ru-RU"/>
        </w:rPr>
        <w:t>6. Раздел «Лицевой счёт» (лицевой счёт организации: пополнение, обеспечение заявок, удержание, вывод, история операций)</w:t>
      </w:r>
    </w:p>
    <w:p w14:paraId="2026118A" w14:textId="77777777" w:rsidR="00686281" w:rsidRDefault="00000000">
      <w:pPr>
        <w:ind w:firstLine="567"/>
        <w:jc w:val="both"/>
        <w:rPr>
          <w:lang w:val="ru-RU"/>
        </w:rPr>
      </w:pPr>
      <w:r>
        <w:rPr>
          <w:lang w:val="ru-RU"/>
        </w:rPr>
        <w:t>6.1. Лицевой счёт открывается организации автоматически при её добавлении в Личном кабинете (номер вида ЛС-XXXXXXXX) и не требует активации; все операции по лицевому счёту ведутся в рублях Российской Федерации (пункты 2.1, 1.3 Правил открытия и ведения лицевых счетов Пользователей). В разделе «Лицевой счёт» отображается лицевой счёт активной компании (пункт 3.6 настоящего Руководства).</w:t>
      </w:r>
    </w:p>
    <w:p w14:paraId="6F7B8FCE" w14:textId="77777777" w:rsidR="00686281" w:rsidRDefault="00000000">
      <w:pPr>
        <w:ind w:firstLine="567"/>
        <w:jc w:val="both"/>
        <w:rPr>
          <w:lang w:val="ru-RU"/>
        </w:rPr>
      </w:pPr>
      <w:r>
        <w:rPr>
          <w:lang w:val="ru-RU"/>
        </w:rPr>
        <w:t>6.2. В разделе «Лицевой счёт» отображаются показатели лицевого счёта организации; в Правилах открытия и ведения лицевых счетов Пользователей им соответствуют субсчета (пункт 2.2 Правил):</w:t>
      </w:r>
    </w:p>
    <w:tbl>
      <w:tblPr>
        <w:tblStyle w:val="aff8"/>
        <w:tblW w:w="0" w:type="auto"/>
        <w:jc w:val="center"/>
        <w:tblLook w:val="04A0" w:firstRow="1" w:lastRow="0" w:firstColumn="1" w:lastColumn="0" w:noHBand="0" w:noVBand="1"/>
      </w:tblPr>
      <w:tblGrid>
        <w:gridCol w:w="3118"/>
        <w:gridCol w:w="6236"/>
      </w:tblGrid>
      <w:tr w:rsidR="00686281" w14:paraId="1A5FA7B6" w14:textId="77777777">
        <w:trPr>
          <w:tblHeader/>
          <w:jc w:val="center"/>
        </w:trPr>
        <w:tc>
          <w:tcPr>
            <w:tcW w:w="3118" w:type="dxa"/>
          </w:tcPr>
          <w:p w14:paraId="7248C646" w14:textId="77777777" w:rsidR="00686281" w:rsidRDefault="00000000">
            <w:pPr>
              <w:spacing w:after="40"/>
              <w:jc w:val="center"/>
            </w:pPr>
            <w:r>
              <w:rPr>
                <w:b/>
              </w:rPr>
              <w:t>Показатель</w:t>
            </w:r>
          </w:p>
        </w:tc>
        <w:tc>
          <w:tcPr>
            <w:tcW w:w="6236" w:type="dxa"/>
          </w:tcPr>
          <w:p w14:paraId="6CEB4FC2" w14:textId="77777777" w:rsidR="00686281" w:rsidRDefault="00000000">
            <w:pPr>
              <w:spacing w:after="40"/>
              <w:jc w:val="center"/>
            </w:pPr>
            <w:r>
              <w:rPr>
                <w:b/>
              </w:rPr>
              <w:t>Назначение</w:t>
            </w:r>
          </w:p>
        </w:tc>
      </w:tr>
      <w:tr w:rsidR="00686281" w:rsidRPr="00C80739" w14:paraId="09EF20C9" w14:textId="77777777">
        <w:trPr>
          <w:jc w:val="center"/>
        </w:trPr>
        <w:tc>
          <w:tcPr>
            <w:tcW w:w="3118" w:type="dxa"/>
          </w:tcPr>
          <w:p w14:paraId="62B1A9B0" w14:textId="77777777" w:rsidR="00686281" w:rsidRDefault="00000000">
            <w:pPr>
              <w:spacing w:after="40"/>
            </w:pPr>
            <w:r>
              <w:t>«Доступно» (Субсчёт свободных средств)</w:t>
            </w:r>
          </w:p>
        </w:tc>
        <w:tc>
          <w:tcPr>
            <w:tcW w:w="6236" w:type="dxa"/>
          </w:tcPr>
          <w:p w14:paraId="54C7A418" w14:textId="77777777" w:rsidR="00686281" w:rsidRDefault="00000000">
            <w:pPr>
              <w:spacing w:after="40"/>
              <w:rPr>
                <w:lang w:val="ru-RU"/>
              </w:rPr>
            </w:pPr>
            <w:r>
              <w:rPr>
                <w:lang w:val="ru-RU"/>
              </w:rPr>
              <w:t xml:space="preserve">Свободные (незаблокированные) денежные средства организации. Используются для обеспечения заявок на участие в Процедурах, блокирования суммы тарифа за победу при подаче заявки, уплаты вознаграждения Оператора по Тарифам (тариф за победу или за участие) и могут быть выведены Пользователем</w:t>
            </w:r>
          </w:p>
        </w:tc>
      </w:tr>
      <w:tr w:rsidR="00686281" w:rsidRPr="00C80739" w14:paraId="632ABB5C" w14:textId="77777777">
        <w:trPr>
          <w:jc w:val="center"/>
        </w:trPr>
        <w:tc>
          <w:tcPr>
            <w:tcW w:w="3118" w:type="dxa"/>
          </w:tcPr>
          <w:p w14:paraId="35C9805C" w14:textId="77777777" w:rsidR="00686281" w:rsidRDefault="00000000">
            <w:pPr>
              <w:spacing w:after="40"/>
              <w:rPr>
                <w:lang w:val="ru-RU"/>
              </w:rPr>
            </w:pPr>
            <w:r>
              <w:rPr>
                <w:lang w:val="ru-RU"/>
              </w:rPr>
              <w:t xml:space="preserve">«Заблокировано (обеспечение и тариф за победу)» (Субсчёт блокированных средств)</w:t>
            </w:r>
          </w:p>
        </w:tc>
        <w:tc>
          <w:tcPr>
            <w:tcW w:w="6236" w:type="dxa"/>
          </w:tcPr>
          <w:p w14:paraId="0E4E0BE3" w14:textId="77777777" w:rsidR="00686281" w:rsidRDefault="00000000">
            <w:pPr>
              <w:spacing w:after="40"/>
              <w:rPr>
                <w:lang w:val="ru-RU"/>
              </w:rPr>
            </w:pPr>
            <w:r>
              <w:rPr>
                <w:lang w:val="ru-RU"/>
              </w:rPr>
              <w:t xml:space="preserve">Денежные средства, заблокированные в качестве обеспечения заявок, суммы тарифа за победу, заблокированные при подаче заявок, денежные средства, удерживаемые до разрешения спора, а также суммы заявок на вывод до их перечисления. Не могут быть использованы для вывода или для подачи заявок в другие Процедуры</w:t>
            </w:r>
          </w:p>
        </w:tc>
      </w:tr>
      <w:tr w:rsidR="00686281" w:rsidRPr="00C80739" w14:paraId="7C289244" w14:textId="77777777">
        <w:trPr>
          <w:jc w:val="center"/>
        </w:trPr>
        <w:tc>
          <w:tcPr>
            <w:tcW w:w="3118" w:type="dxa"/>
          </w:tcPr>
          <w:p w14:paraId="7962A597" w14:textId="77777777" w:rsidR="00686281" w:rsidRDefault="00000000">
            <w:pPr>
              <w:spacing w:after="40"/>
              <w:rPr>
                <w:lang w:val="ru-RU"/>
              </w:rPr>
            </w:pPr>
            <w:r>
              <w:rPr>
                <w:lang w:val="ru-RU"/>
              </w:rPr>
              <w:t>«Всего на счёте»</w:t>
            </w:r>
          </w:p>
        </w:tc>
        <w:tc>
          <w:tcPr>
            <w:tcW w:w="6236" w:type="dxa"/>
          </w:tcPr>
          <w:p w14:paraId="587784A5" w14:textId="77777777" w:rsidR="00686281" w:rsidRDefault="00000000">
            <w:pPr>
              <w:spacing w:after="40"/>
              <w:rPr>
                <w:lang w:val="ru-RU"/>
              </w:rPr>
            </w:pPr>
            <w:r>
              <w:rPr>
                <w:lang w:val="ru-RU"/>
              </w:rPr>
              <w:t>Сумма доступных и заблокированных денежных средств организации</w:t>
            </w:r>
          </w:p>
        </w:tc>
      </w:tr>
    </w:tbl>
    <w:p w14:paraId="3B804339" w14:textId="77777777" w:rsidR="00686281" w:rsidRDefault="00686281">
      <w:pPr>
        <w:spacing w:after="0"/>
        <w:jc w:val="both"/>
        <w:rPr>
          <w:lang w:val="ru-RU"/>
        </w:rPr>
      </w:pPr>
    </w:p>
    <w:p w14:paraId="429FB9BF" w14:textId="77777777" w:rsidR="00686281" w:rsidRDefault="00000000">
      <w:pPr>
        <w:ind w:firstLine="567"/>
        <w:jc w:val="both"/>
        <w:rPr>
          <w:lang w:val="ru-RU"/>
        </w:rPr>
      </w:pPr>
      <w:r>
        <w:rPr>
          <w:lang w:val="ru-RU"/>
        </w:rPr>
        <w:t>6.3. С лицевого счёта списываются вознаграждение Оператора по Тарифам (тариф за победу или за участие) и удержанное обеспечение заявки; на лицевой счёт Заказчика зачисляется удержанное в его пользу обеспечение (пункт 6.8 настоящего Руководства). Абонентская плата (подписка) с лицевого счёта не оплачивается (пункт 7.3 настоящего Руководства). Операции отображаются в блоке «История операций» раздела «Лицевой счёт», сформированные платёжные поручения — в блоке «Платёжные поручения» (пункт 2.3 Правил открытия и ведения лицевых счетов).</w:t>
      </w:r>
    </w:p>
    <w:p w14:paraId="04A5BEA4" w14:textId="77777777" w:rsidR="00686281" w:rsidRDefault="00000000">
      <w:pPr>
        <w:ind w:firstLine="567"/>
        <w:jc w:val="both"/>
        <w:rPr>
          <w:lang w:val="ru-RU"/>
        </w:rPr>
      </w:pPr>
      <w:r>
        <w:rPr>
          <w:lang w:val="ru-RU"/>
        </w:rPr>
        <w:t>6.4. Пополнение лицевого счёта:</w:t>
      </w:r>
    </w:p>
    <w:p w14:paraId="658F3C6B" w14:textId="77777777" w:rsidR="00686281" w:rsidRDefault="00000000">
      <w:pPr>
        <w:ind w:firstLine="567"/>
        <w:jc w:val="both"/>
        <w:rPr>
          <w:lang w:val="ru-RU"/>
        </w:rPr>
      </w:pPr>
      <w:r>
        <w:rPr>
          <w:lang w:val="ru-RU"/>
        </w:rPr>
        <w:t>а) Пользователь в блоке «Пополнить счёт» указывает сумму («Сумма, руб.»), назначение платежа («Обеспечение заявки» или «Оплата услуг оператора ЭТП»), при необходимости комментарий и нажимает кнопку «Сформировать платёжное поручение»;</w:t>
      </w:r>
    </w:p>
    <w:p w14:paraId="430DC078" w14:textId="77777777" w:rsidR="00686281" w:rsidRDefault="00000000">
      <w:pPr>
        <w:ind w:firstLine="567"/>
        <w:jc w:val="both"/>
        <w:rPr>
          <w:lang w:val="ru-RU"/>
        </w:rPr>
      </w:pPr>
      <w:r>
        <w:rPr>
          <w:lang w:val="ru-RU"/>
        </w:rPr>
        <w:t>б) Пользователь оплачивает платёжное поручение (ссылка «Печатная форма») со своего банковского счёта безналичным переводом по реквизитам Оператора, указывая в назначении платежа номер платёжного поручения и номер лицевого счёта (пункты 3.1, 3.2 Правил открытия и ведения лицевых счетов Пользователей);</w:t>
      </w:r>
    </w:p>
    <w:p w14:paraId="019D8F25" w14:textId="77777777" w:rsidR="00686281" w:rsidRDefault="00000000">
      <w:pPr>
        <w:ind w:firstLine="567"/>
        <w:jc w:val="both"/>
        <w:rPr>
          <w:lang w:val="ru-RU"/>
        </w:rPr>
      </w:pPr>
      <w:r>
        <w:rPr>
          <w:lang w:val="ru-RU"/>
        </w:rPr>
        <w:lastRenderedPageBreak/>
        <w:t>в) Оператор сверяет поступление денежных средств с платёжным поручением и зачисляет их на лицевой счёт в рабочее время; статус платёжного поручения отображается в блоке «Платёжные поручения», зачисленные средства учитываются в показателе «Доступно» (пункты 3.3, 3.4 Правил открытия и ведения лицевых счетов Пользователей). Лицевой счёт рекомендуется пополнять заранее: без зачисления средств обеспечение заявки не может быть заблокировано.</w:t>
      </w:r>
    </w:p>
    <w:p w14:paraId="14891FDD" w14:textId="77777777" w:rsidR="00686281" w:rsidRDefault="00000000">
      <w:pPr>
        <w:ind w:firstLine="567"/>
        <w:jc w:val="both"/>
        <w:rPr>
          <w:lang w:val="ru-RU"/>
        </w:rPr>
      </w:pPr>
      <w:r>
        <w:rPr>
          <w:lang w:val="ru-RU"/>
        </w:rPr>
        <w:t>6.5. Целевое использование лицевого счёта. Лицевой счёт используется исключительно для обеспечения заявок на участие в Процедурах, уплаты вознаграждения Оператора по Тарифам и зачисления удержанного в пользу Заказчика обеспечения заявок. Не допускается использование лицевого счёта для расчётов между Пользователями и третьими лицами, для хранения денежных средств (зачисление с последующим выводом без совершения операций по целевому использованию счёта), а также для совершения операций, противоречащих требованиям Федерального закона от 07.08.2001 № 115-ФЗ (пункты 1.4–1.6 Правил открытия и ведения лицевых счетов).</w:t>
      </w:r>
    </w:p>
    <w:p w14:paraId="6B981536" w14:textId="77777777" w:rsidR="00686281" w:rsidRDefault="00000000">
      <w:pPr>
        <w:ind w:firstLine="567"/>
        <w:jc w:val="both"/>
        <w:rPr>
          <w:lang w:val="ru-RU"/>
        </w:rPr>
      </w:pPr>
      <w:r>
        <w:rPr>
          <w:lang w:val="ru-RU"/>
        </w:rPr>
        <w:t>6.6. Обеспечение заявок. Обеспечение заявки денежными средствами представляет собой блокирование денежных средств на лицевом счёте организации-участника в качестве обеспечительного платежа (статья 381.1 Гражданского кодекса Российской Федерации) для обеспечения обязательства Участника процедуры заключить договор на условиях поданной им заявки. Блокирование осуществляется Системой автоматически в момент подачи заявки на участие в Процедуре, если извещением о проведении Процедуры установлено требование об обеспечении заявки денежными средствами (пункты 4.1, 4.3 Правил открытия и ведения лицевых счетов Пользователей).</w:t>
      </w:r>
    </w:p>
    <w:p w14:paraId="4472993D" w14:textId="77777777" w:rsidR="00686281" w:rsidRDefault="00000000">
      <w:pPr>
        <w:ind w:firstLine="567"/>
        <w:jc w:val="both"/>
        <w:rPr>
          <w:lang w:val="ru-RU"/>
        </w:rPr>
      </w:pPr>
      <w:r>
        <w:rPr>
          <w:lang w:val="ru-RU"/>
        </w:rPr>
        <w:t xml:space="preserve">Если показатель «Доступно» меньше суммы обеспечения и суммы тарифа за победу, заявка не подаётся до пополнения лицевого счёта. Самостоятельный перевод денежных средств в заблокированные Пользователем не производится.</w:t>
      </w:r>
    </w:p>
    <w:p w14:paraId="7B6D8882" w14:textId="77777777" w:rsidR="00686281" w:rsidRDefault="00000000">
      <w:pPr>
        <w:ind w:firstLine="567"/>
        <w:jc w:val="both"/>
        <w:rPr>
          <w:lang w:val="ru-RU"/>
        </w:rPr>
      </w:pPr>
      <w:r>
        <w:rPr>
          <w:lang w:val="ru-RU"/>
        </w:rPr>
        <w:t>Способ обеспечения заявки (</w:t>
      </w:r>
      <w:r>
        <w:rPr>
          <w:color w:val="008000"/>
          <w:lang w:val="ru-RU"/>
        </w:rPr>
        <w:t>денежные средства, независимая/банковская гарантия или на выбор участника</w:t>
      </w:r>
      <w:r>
        <w:rPr>
          <w:lang w:val="ru-RU"/>
        </w:rPr>
        <w:t xml:space="preserve">) и срок блокирования денежных средств указываются в извещении; Организатор процедур вправе продлить срок блокирования. </w:t>
      </w:r>
      <w:r>
        <w:rPr>
          <w:color w:val="008000"/>
          <w:lang w:val="ru-RU"/>
        </w:rPr>
        <w:t>При обеспечении независимой/банковской гарантией</w:t>
      </w:r>
      <w:r>
        <w:rPr>
          <w:lang w:val="ru-RU"/>
        </w:rPr>
        <w:t xml:space="preserve"> Участник процедуры прикладывает файл гарантии к заявке, денежные средства не блокируются; Организатор процедур принимает или отклоняет гарантию при рассмотрении заявок, отклонение гарантии является основанием для отклонения заявки (Руководство Участника процедур).</w:t>
      </w:r>
    </w:p>
    <w:p w14:paraId="7B6D8882" w14:textId="77777777" w:rsidR="00686281" w:rsidRDefault="00000000">
      <w:pPr>
        <w:ind w:firstLine="567"/>
        <w:jc w:val="both"/>
        <w:rPr>
          <w:lang w:val="ru-RU"/>
        </w:rPr>
      </w:pPr>
      <w:r>
        <w:rPr>
          <w:lang w:val="ru-RU"/>
        </w:rPr>
        <w:t xml:space="preserve">Тариф за победу. В Процедурах, по которым взимается тариф за победу, Система в момент подачи заявки автоматически блокирует на лицевом счёте организации-участника сумму тарифа за победу по лоту. Победителю Процедуры тариф за победу списывается за счёт заблокированной суммы при подведении итогов Процедуры; остальным Участникам процедуры, в том числе участнику, занявшему второе место, сумма разблокируется при подведении итогов, а также при отзыве или замене заявки, отказе от проведения Процедуры, отказе в допуске и признании Процедуры несостоявшейся (пункт 6.2 Правил открытия и ведения лицевых счетов Пользователей).</w:t>
      </w:r>
    </w:p>
    <w:p w14:paraId="341ACAC7" w14:textId="77777777" w:rsidR="00686281" w:rsidRDefault="00000000">
      <w:pPr>
        <w:ind w:firstLine="567"/>
        <w:jc w:val="both"/>
        <w:rPr>
          <w:lang w:val="ru-RU"/>
        </w:rPr>
      </w:pPr>
      <w:r>
        <w:rPr>
          <w:lang w:val="ru-RU"/>
        </w:rPr>
        <w:t>6.7. Разблокирование денежных средств. Денежные средства разблокируются Системой автоматически в момент наступления события, без заявки Пользователя и без участия Оператора, и учитываются в показателе «Доступно» (пункты 5.1–5.5 Правил открытия и ведения лицевых счетов):</w:t>
      </w:r>
    </w:p>
    <w:p w14:paraId="02E20F56" w14:textId="77777777" w:rsidR="00686281" w:rsidRDefault="00000000">
      <w:pPr>
        <w:ind w:firstLine="567"/>
        <w:jc w:val="both"/>
        <w:rPr>
          <w:lang w:val="ru-RU"/>
        </w:rPr>
      </w:pPr>
      <w:r>
        <w:rPr>
          <w:lang w:val="ru-RU"/>
        </w:rPr>
        <w:t>а) отзыв или замена заявки Участником процедуры;</w:t>
      </w:r>
    </w:p>
    <w:p w14:paraId="3572FDF5" w14:textId="77777777" w:rsidR="00686281" w:rsidRDefault="00000000">
      <w:pPr>
        <w:ind w:firstLine="567"/>
        <w:jc w:val="both"/>
        <w:rPr>
          <w:lang w:val="ru-RU"/>
        </w:rPr>
      </w:pPr>
      <w:r>
        <w:rPr>
          <w:lang w:val="ru-RU"/>
        </w:rPr>
        <w:t>б) отказ Организатора процедур от проведения Процедуры;</w:t>
      </w:r>
    </w:p>
    <w:p w14:paraId="17855DD3" w14:textId="77777777" w:rsidR="00686281" w:rsidRDefault="00000000">
      <w:pPr>
        <w:ind w:firstLine="567"/>
        <w:jc w:val="both"/>
        <w:rPr>
          <w:lang w:val="ru-RU"/>
        </w:rPr>
      </w:pPr>
      <w:r>
        <w:rPr>
          <w:lang w:val="ru-RU"/>
        </w:rPr>
        <w:t>в) отказ Участнику процедуры в допуске к участию — при размещении протокола с таким решением, в том числе промежуточного;</w:t>
      </w:r>
    </w:p>
    <w:p w14:paraId="726D2C82" w14:textId="77777777" w:rsidR="00686281" w:rsidRDefault="00000000">
      <w:pPr>
        <w:ind w:firstLine="567"/>
        <w:jc w:val="both"/>
        <w:rPr>
          <w:lang w:val="ru-RU"/>
        </w:rPr>
      </w:pPr>
      <w:r>
        <w:rPr>
          <w:lang w:val="ru-RU"/>
        </w:rPr>
        <w:t xml:space="preserve">г) подведение итогов Процедуры — всем Участникам процедуры, кроме Победителя и, если извещением это предусмотрено, участника, занявшего второе место (сумма тарифа за победу разблокируется и такому участнику);</w:t>
      </w:r>
    </w:p>
    <w:p w14:paraId="615174A8" w14:textId="77777777" w:rsidR="00686281" w:rsidRDefault="00000000">
      <w:pPr>
        <w:ind w:firstLine="567"/>
        <w:jc w:val="both"/>
        <w:rPr>
          <w:lang w:val="ru-RU"/>
        </w:rPr>
      </w:pPr>
      <w:r>
        <w:rPr>
          <w:lang w:val="ru-RU"/>
        </w:rPr>
        <w:t>д) признание Процедуры несостоявшейся;</w:t>
      </w:r>
    </w:p>
    <w:p w14:paraId="0CF52D92" w14:textId="77777777" w:rsidR="00686281" w:rsidRDefault="00000000">
      <w:pPr>
        <w:ind w:firstLine="567"/>
        <w:jc w:val="both"/>
        <w:rPr>
          <w:lang w:val="ru-RU"/>
        </w:rPr>
      </w:pPr>
      <w:r>
        <w:rPr>
          <w:lang w:val="ru-RU"/>
        </w:rPr>
        <w:t>е) заключение договора — Победителю и одновременно участнику, занявшему второе место;</w:t>
      </w:r>
    </w:p>
    <w:p w14:paraId="34E1FA07" w14:textId="77777777" w:rsidR="00686281" w:rsidRDefault="00000000">
      <w:pPr>
        <w:ind w:firstLine="567"/>
        <w:jc w:val="both"/>
        <w:rPr>
          <w:lang w:val="ru-RU"/>
        </w:rPr>
      </w:pPr>
      <w:r>
        <w:rPr>
          <w:lang w:val="ru-RU"/>
        </w:rPr>
        <w:t xml:space="preserve">ж) истечение указанного в извещении срока блокирования (с учётом продления), если итоги Процедуры не подведены, — всем Участникам процедуры; в этом случае Организатор процедур утрачивает право на обеспечение. Сумма тарифа за победу по этому основанию не разблокируется.</w:t>
      </w:r>
    </w:p>
    <w:p w14:paraId="5C41BD07" w14:textId="77777777" w:rsidR="00686281" w:rsidRDefault="00000000">
      <w:pPr>
        <w:ind w:firstLine="567"/>
        <w:jc w:val="both"/>
        <w:rPr>
          <w:lang w:val="ru-RU"/>
        </w:rPr>
      </w:pPr>
      <w:r>
        <w:rPr>
          <w:lang w:val="ru-RU"/>
        </w:rPr>
        <w:t>Обеспечение заявки Победителя не засчитывается в обеспечение исполнения договора и разблокируется при заключении договора; обеспечение исполнения договора предоставляется отдельно при подписании договора (Руководство Участника процедур).</w:t>
      </w:r>
    </w:p>
    <w:p w14:paraId="60FD9141" w14:textId="77777777" w:rsidR="00686281" w:rsidRDefault="00000000">
      <w:pPr>
        <w:ind w:firstLine="567"/>
        <w:jc w:val="both"/>
        <w:rPr>
          <w:lang w:val="ru-RU"/>
        </w:rPr>
      </w:pPr>
      <w:r>
        <w:rPr>
          <w:lang w:val="ru-RU"/>
        </w:rPr>
        <w:t>6.8. Удержание обеспечения. Основаниями удержания обеспечения заявки являются: уклонение Победителя (или участника, которому направлен договор) от заключения договора; представление Участником процедуры ложных сведений; отказ предоставить обеспечение исполнения договора.</w:t>
      </w:r>
      <w:r>
        <w:rPr>
          <w:color w:val="FF0000"/>
          <w:lang w:val="ru-RU"/>
        </w:rPr>
        <w:t xml:space="preserve"> В Процедурах в секции «Закупки по 223-ФЗ» удержание обеспечения заявки допускается только в случаях, установленных частью 26 статьи 3.2 Федерального закона № 223-ФЗ (уклонение или отказ от заключения договора; непредоставление обеспечения исполнения договора до его заключения).</w:t>
      </w:r>
      <w:r>
        <w:rPr>
          <w:lang w:val="ru-RU"/>
        </w:rPr>
        <w:t xml:space="preserve"> Заказчик фиксирует основание удержания в Системе, после чего денежные средства остаются заблокированными в течение 5 (пяти) календарных дней. В этот срок Участник процедуры вправе оспорить удержание средствами Личного кабинета. При отсутствии спора денежные средства по истечении указанного срока зачисляются на лицевой счёт Заказчика (в показатель «Доступно») и выводятся им в порядке пункта 6.9 настоящего Руководства. При оспаривании денежные средства остаются заблокированными до урегулирования спора; для распоряжения ими Оператору представляется вступившее в силу решение суда либо соглашение сторон (пункты 5.6, 5.7 Правил).</w:t>
      </w:r>
    </w:p>
    <w:p w14:paraId="7ABA5109" w14:textId="77777777" w:rsidR="00686281" w:rsidRDefault="00000000">
      <w:pPr>
        <w:ind w:firstLine="567"/>
        <w:jc w:val="both"/>
        <w:rPr>
          <w:lang w:val="ru-RU"/>
        </w:rPr>
      </w:pPr>
      <w:r>
        <w:rPr>
          <w:lang w:val="ru-RU"/>
        </w:rPr>
        <w:t>6.9. Вывод денежных средств:</w:t>
      </w:r>
    </w:p>
    <w:p w14:paraId="58C3D216" w14:textId="77777777" w:rsidR="00686281" w:rsidRDefault="00000000">
      <w:pPr>
        <w:ind w:firstLine="567"/>
        <w:jc w:val="both"/>
        <w:rPr>
          <w:lang w:val="ru-RU"/>
        </w:rPr>
      </w:pPr>
      <w:r>
        <w:rPr>
          <w:lang w:val="ru-RU"/>
        </w:rPr>
        <w:t xml:space="preserve">а) заявка на вывод подаётся в блоке «Вывод средств» раздела «Лицевой счёт»: Пользователь указывает сумму («Сумма, руб.»), при необходимости комментарий и нажимает кнопку «Заявить вывод»; заявка на вывод подписывается КЭП;</w:t>
      </w:r>
    </w:p>
    <w:p w14:paraId="6B5F6DBB" w14:textId="77777777" w:rsidR="00686281" w:rsidRDefault="00000000">
      <w:pPr>
        <w:ind w:firstLine="567"/>
        <w:jc w:val="both"/>
        <w:rPr>
          <w:lang w:val="ru-RU"/>
        </w:rPr>
      </w:pPr>
      <w:r>
        <w:rPr>
          <w:lang w:val="ru-RU"/>
        </w:rPr>
        <w:t>б) сумма вывода не может превышать показатель «Доступно»; сумма заявки на вывод блокируется до перечисления денежных средств (пункты 6.4, 6.5 Правил открытия и ведения лицевых счетов Пользователей);</w:t>
      </w:r>
    </w:p>
    <w:p w14:paraId="470193AC" w14:textId="77777777" w:rsidR="00686281" w:rsidRDefault="00000000">
      <w:pPr>
        <w:ind w:firstLine="567"/>
        <w:jc w:val="both"/>
        <w:rPr>
          <w:lang w:val="ru-RU"/>
        </w:rPr>
      </w:pPr>
      <w:r>
        <w:rPr>
          <w:lang w:val="ru-RU"/>
        </w:rPr>
        <w:t>в) денежные средства перечисляются на банковские реквизиты организации, указанные в блоке «Банковские реквизиты компании» раздела «Лицевой счёт» (наименование банка, БИК, корреспондентский счёт, расчётный счёт; кнопка «Сохранить реквизиты»); без указания реквизитов вывод невозможен;</w:t>
      </w:r>
    </w:p>
    <w:p w14:paraId="228B0753" w14:textId="77777777" w:rsidR="00686281" w:rsidRDefault="00000000">
      <w:pPr>
        <w:ind w:firstLine="567"/>
        <w:jc w:val="both"/>
        <w:rPr>
          <w:lang w:val="ru-RU"/>
        </w:rPr>
      </w:pPr>
      <w:r>
        <w:rPr>
          <w:lang w:val="ru-RU"/>
        </w:rPr>
        <w:t>г) Оператор перечисляет денежные средства в течение 5 (пяти) рабочих дней с даты подачи заявки на вывод (пункт 6.6 Правил открытия и ведения лицевых счетов Пользователей); статус заявки и комментарий Оператора отображаются в разделе «Лицевой счёт»;</w:t>
      </w:r>
    </w:p>
    <w:p w14:paraId="4AA4CCD3" w14:textId="77777777" w:rsidR="00686281" w:rsidRDefault="00000000">
      <w:pPr>
        <w:ind w:firstLine="567"/>
        <w:jc w:val="both"/>
        <w:rPr>
          <w:lang w:val="ru-RU"/>
        </w:rPr>
      </w:pPr>
      <w:r>
        <w:rPr>
          <w:lang w:val="ru-RU"/>
        </w:rPr>
        <w:t>д) денежные средства перечисляются только на банковский счёт организации, которой открыт лицевой счёт (пункт 6.5 Правил открытия и ведения лицевых счетов Пользователей).</w:t>
      </w:r>
    </w:p>
    <w:p w14:paraId="2F52940B" w14:textId="77777777" w:rsidR="00686281" w:rsidRDefault="00000000">
      <w:pPr>
        <w:ind w:firstLine="567"/>
        <w:jc w:val="both"/>
        <w:rPr>
          <w:lang w:val="ru-RU"/>
        </w:rPr>
      </w:pPr>
      <w:r>
        <w:rPr>
          <w:lang w:val="ru-RU"/>
        </w:rPr>
        <w:t>6.10. При прекращении Соглашения Оператор возвращает Пользователю остаток денежных средств на лицевом счёте организации (за вычетом задолженности перед Оператором) по заявлению Пользователя на банковский счёт организации (пункт 10.6 Соглашения, пункт 6.7 Правил).</w:t>
      </w:r>
    </w:p>
    <w:p w14:paraId="0E063839" w14:textId="77777777" w:rsidR="00686281" w:rsidRDefault="00000000">
      <w:pPr>
        <w:ind w:firstLine="567"/>
        <w:jc w:val="both"/>
        <w:rPr>
          <w:lang w:val="ru-RU"/>
        </w:rPr>
      </w:pPr>
      <w:r>
        <w:rPr>
          <w:lang w:val="ru-RU"/>
        </w:rPr>
        <w:t>6.11. Информация о размере сумм денежных средств, находящихся на лицевых счетах Пользователей, недоступна для третьих лиц, за исключением случаев, предусмотренных законодательством Российской Федерации (пункт 7.1 Правил открытия и ведения лицевых счетов).</w:t>
      </w:r>
    </w:p>
    <w:p w14:paraId="1FA7AE76" w14:textId="77777777" w:rsidR="00686281" w:rsidRDefault="00000000">
      <w:pPr>
        <w:spacing w:before="200"/>
        <w:ind w:firstLine="567"/>
        <w:jc w:val="both"/>
        <w:rPr>
          <w:lang w:val="ru-RU"/>
        </w:rPr>
      </w:pPr>
      <w:r>
        <w:rPr>
          <w:b/>
          <w:sz w:val="24"/>
          <w:lang w:val="ru-RU"/>
        </w:rPr>
        <w:t>7. Тарифы и подписка (раздел «Подписка», оплата, отказ от Тарифа)</w:t>
      </w:r>
    </w:p>
    <w:p w14:paraId="7EDCB0D7" w14:textId="77777777" w:rsidR="00686281" w:rsidRDefault="00000000">
      <w:pPr>
        <w:ind w:firstLine="567"/>
        <w:jc w:val="both"/>
        <w:rPr>
          <w:lang w:val="ru-RU"/>
        </w:rPr>
      </w:pPr>
      <w:r>
        <w:rPr>
          <w:lang w:val="ru-RU"/>
        </w:rPr>
        <w:lastRenderedPageBreak/>
        <w:t>7.1. Тарифы Оператора (Приложение № 8 к Соглашению) размещаются на сайте ЭТП (</w:t>
      </w:r>
      <w:hyperlink r:id="rId14" w:tooltip="https://stantorgi.ru/" w:history="1">
        <w:r w:rsidR="00686281">
          <w:rPr>
            <w:rStyle w:val="afff0"/>
            <w:lang w:val="ru-RU"/>
          </w:rPr>
          <w:t>https://stantorgi.ru/</w:t>
        </w:r>
      </w:hyperlink>
      <w:r>
        <w:rPr>
          <w:lang w:val="ru-RU"/>
        </w:rPr>
        <w:t>), на сайте Оператора (</w:t>
      </w:r>
      <w:hyperlink r:id="rId15" w:tooltip="https://stan-torgi.ru/" w:history="1">
        <w:r w:rsidR="00686281">
          <w:rPr>
            <w:rStyle w:val="afff0"/>
            <w:lang w:val="ru-RU"/>
          </w:rPr>
          <w:t>https://stan-torgi.ru/</w:t>
        </w:r>
      </w:hyperlink>
      <w:r>
        <w:rPr>
          <w:lang w:val="ru-RU"/>
        </w:rPr>
        <w:t>) и в Личном кабинете Пользователя (пункт 2 Тарифов). Тариф — совокупность условий и стоимость предоставления Пользователю права использования функциональных возможностей ЭТП (Приложение № 1 к Соглашению).</w:t>
      </w:r>
    </w:p>
    <w:p w14:paraId="73792F59" w14:textId="77777777" w:rsidR="00686281" w:rsidRDefault="00000000">
      <w:pPr>
        <w:ind w:firstLine="567"/>
        <w:jc w:val="both"/>
        <w:rPr>
          <w:lang w:val="ru-RU"/>
        </w:rPr>
      </w:pPr>
      <w:r>
        <w:rPr>
          <w:lang w:val="ru-RU"/>
        </w:rPr>
        <w:t>7.2. Состав Тарифов (конкретные размеры установлены Приложением № 8 к Соглашению):</w:t>
      </w:r>
    </w:p>
    <w:p w14:paraId="0B1A644B" w14:textId="28DE7C4D" w:rsidR="00686281" w:rsidRDefault="00000000">
      <w:pPr>
        <w:ind w:firstLine="567"/>
        <w:jc w:val="both"/>
        <w:rPr>
          <w:lang w:val="ru-RU"/>
        </w:rPr>
      </w:pPr>
      <w:r>
        <w:rPr>
          <w:lang w:val="ru-RU"/>
        </w:rPr>
        <w:t xml:space="preserve">а) секция «Закупки по 223-ФЗ»: регистрация, стандартная аккредитация, размещение Процедур и участие в них — бесплатно; вознаграждение Оператора взимается по тарифу «за победу» с Победителя Процедуры, если для Заказчика не установлен индивидуальный тариф, предусматривающий иной размер и (или) плату «за участие» с каждого Участника процедуры; сведения об индивидуальном тарифе указываются в извещении (карточке Процедуры). Сумма тарифа за победу блокируется на лицевом счёте Участника процедуры при подаче заявки и списывается с лицевого счёта Победителя при подведении итогов Процедуры; остальным Участникам процедуры она разблокируется (пункт 6.2 Правил открытия и ведения лицевых счетов Пользователей). Плата «за участие» списывается при подаче заявки, возвращается при отзыве/отклонении заявки;</w:t>
      </w:r>
    </w:p>
    <w:p w14:paraId="0E864793" w14:textId="77777777" w:rsidR="00686281" w:rsidRDefault="00000000">
      <w:pPr>
        <w:ind w:firstLine="567"/>
        <w:jc w:val="both"/>
        <w:rPr>
          <w:lang w:val="ru-RU"/>
        </w:rPr>
      </w:pPr>
      <w:r>
        <w:rPr>
          <w:lang w:val="ru-RU"/>
        </w:rPr>
        <w:t>б) секции «Коммерческие закупки» и «Продажа»: абонентская плата (подписка) за период 3, 6 или 12 месяцев, которую вносят как Организатор процедур, так и Участник процедуры; тариф за победу не взимается. Без действующей подписки Процедуры в указанных секциях доступны для просмотра, но размещение Процедур и подача заявок недоступны. Подписка также открывает модуль «B2B Маркетплейс» (пункт 3.4 настоящего Руководства). Количество организуемых Процедур не ограничено; на период подписки установлены лимиты размещаемых Объявлений (предварительных предложений) и участий через «Электронный магазин» (участием признаётся предварительное предложение, отобранное Оператором и направленное Заказчику). Неиспользованные лимиты на следующий период не переносятся; Объявления сверх лимита по окончании периода снимаются с публикации;</w:t>
      </w:r>
    </w:p>
    <w:p w14:paraId="507479F7" w14:textId="77777777" w:rsidR="00686281" w:rsidRDefault="00000000">
      <w:pPr>
        <w:ind w:firstLine="567"/>
        <w:jc w:val="both"/>
        <w:rPr>
          <w:lang w:val="ru-RU"/>
        </w:rPr>
      </w:pPr>
      <w:r>
        <w:rPr>
          <w:lang w:val="ru-RU"/>
        </w:rPr>
        <w:t>в) опции: увеличение количества размещаемых Объявлений (предварительных предложений) сверх лимита подписки;</w:t>
      </w:r>
    </w:p>
    <w:p w14:paraId="1F77CEFA" w14:textId="77777777" w:rsidR="00686281" w:rsidRDefault="00000000">
      <w:pPr>
        <w:ind w:firstLine="567"/>
        <w:jc w:val="both"/>
        <w:rPr>
          <w:lang w:val="ru-RU"/>
        </w:rPr>
      </w:pPr>
      <w:r>
        <w:rPr>
          <w:lang w:val="ru-RU"/>
        </w:rPr>
        <w:t>г) ускоренная аккредитация — дополнительная платная услуга Оператора (пункт 5.6 настоящего Руководства);</w:t>
      </w:r>
    </w:p>
    <w:p w14:paraId="524C02EB" w14:textId="77777777" w:rsidR="00686281" w:rsidRDefault="00000000">
      <w:pPr>
        <w:ind w:firstLine="567"/>
        <w:jc w:val="both"/>
        <w:rPr>
          <w:lang w:val="ru-RU"/>
        </w:rPr>
      </w:pPr>
      <w:r>
        <w:rPr>
          <w:lang w:val="ru-RU"/>
        </w:rPr>
        <w:t>д) дополнительные услуги, оказываемые вне функций Системы по отдельному счёту: отдельная секция с индивидуальным дизайном и индивидуальный дизайн страницы Пользователя; аудит закупочной документации (1 Процедура, 1 лот) с внесением изменений в документацию; аудит локального нормативного акта, регламентирующего процесс осуществления электронных торгов (в том числе Положения о закупке); аудит заявки на участие в Процедуре с рекомендациями.</w:t>
      </w:r>
    </w:p>
    <w:p w14:paraId="4918D0C1" w14:textId="77777777" w:rsidR="00686281" w:rsidRDefault="00000000">
      <w:pPr>
        <w:ind w:firstLine="567"/>
        <w:jc w:val="both"/>
        <w:rPr>
          <w:lang w:val="ru-RU"/>
        </w:rPr>
      </w:pPr>
      <w:r>
        <w:rPr>
          <w:lang w:val="ru-RU"/>
        </w:rPr>
        <w:t>7.3. Подписка оформляется в разделе «Подписка»: Пользователь нажимает кнопку «Выбрать тариф», на странице «Тарифные планы» выбирает период и нажимает кнопку «Оформить подписку». Система формирует счёт на оплату (ссылка «Открыть счёт на оплату»; ранее выставленные счета — «Все счета»), который оплачивается безналичным переводом со счёта Пользователя. Абонентская плата с лицевого счёта не списывается. Подписка активируется Оператором после поступления оплаты; статус подписки («Активна», «Ожидает оплаты», «Нет подписки»), тариф и дата окончания («Действует до») отображаются в разделе «Подписка». Продление или смена тарифа — кнопка «Продлить / сменить тариф» (пункт 4.3 Соглашения).</w:t>
      </w:r>
    </w:p>
    <w:p w14:paraId="580D5EB8" w14:textId="77777777" w:rsidR="00686281" w:rsidRDefault="00000000">
      <w:pPr>
        <w:ind w:firstLine="567"/>
        <w:jc w:val="both"/>
        <w:rPr>
          <w:lang w:val="ru-RU"/>
        </w:rPr>
      </w:pPr>
      <w:r>
        <w:rPr>
          <w:lang w:val="ru-RU"/>
        </w:rPr>
        <w:t>7.4. Доступ к секциям Системы и сервисам, входящим в подписку, предоставляется после поступления оплаты. При неоплате очередного периода доступ к размещению Процедур и подаче заявок в секциях «Коммерческие закупки» и «Продажа», а также к модулю «B2B Маркетплейс» приостанавливается до момента оплаты; Процедуры, начатые до приостановления доступа, доводятся до завершения (пункты 4.3, 4.4, 4.6 Соглашения).</w:t>
      </w:r>
    </w:p>
    <w:p w14:paraId="13F7942F" w14:textId="77777777" w:rsidR="00686281" w:rsidRDefault="00000000">
      <w:pPr>
        <w:ind w:firstLine="567"/>
        <w:jc w:val="both"/>
        <w:rPr>
          <w:lang w:val="ru-RU"/>
        </w:rPr>
      </w:pPr>
      <w:r>
        <w:rPr>
          <w:lang w:val="ru-RU"/>
        </w:rPr>
        <w:lastRenderedPageBreak/>
        <w:t>7.5. Изменение Тарифов. Оператор вправе в одностороннем порядке вносить изменения в Тарифы. Изменения публикуются на сайте ЭТП и (или) в Личном кабинете Пользователя и вступают в силу не ранее чем через 10 (десять) календарных дней с даты опубликования; ранее оплаченные периоды оплачиваются по ранее действовавшим Тарифам (пункт 10.2 Соглашения, пункт 2 Тарифов).</w:t>
      </w:r>
    </w:p>
    <w:p w14:paraId="1BFC92A9" w14:textId="77777777" w:rsidR="00686281" w:rsidRDefault="00000000">
      <w:pPr>
        <w:ind w:firstLine="567"/>
        <w:jc w:val="both"/>
        <w:rPr>
          <w:lang w:val="ru-RU"/>
        </w:rPr>
      </w:pPr>
      <w:r>
        <w:rPr>
          <w:lang w:val="ru-RU"/>
        </w:rPr>
        <w:t xml:space="preserve">7.6. Отказ от Тарифа. Пользователь вправе в любое время отказаться от подписки без её замены иным Тарифом, направив Оператору заявление на адрес электронной почты </w:t>
      </w:r>
      <w:hyperlink r:id="rId16" w:tooltip="mailto:support@stan-torgi.ru" w:history="1">
        <w:r w:rsidR="00686281">
          <w:rPr>
            <w:rStyle w:val="afff0"/>
          </w:rPr>
          <w:t>support</w:t>
        </w:r>
        <w:r w:rsidR="00686281">
          <w:rPr>
            <w:rStyle w:val="afff0"/>
            <w:lang w:val="ru-RU"/>
          </w:rPr>
          <w:t>@</w:t>
        </w:r>
        <w:r w:rsidR="00686281">
          <w:rPr>
            <w:rStyle w:val="afff0"/>
          </w:rPr>
          <w:t>stan</w:t>
        </w:r>
        <w:r w:rsidR="00686281">
          <w:rPr>
            <w:rStyle w:val="afff0"/>
            <w:lang w:val="ru-RU"/>
          </w:rPr>
          <w:t>-</w:t>
        </w:r>
        <w:r w:rsidR="00686281">
          <w:rPr>
            <w:rStyle w:val="afff0"/>
          </w:rPr>
          <w:t>torgi</w:t>
        </w:r>
        <w:r w:rsidR="00686281">
          <w:rPr>
            <w:rStyle w:val="afff0"/>
            <w:lang w:val="ru-RU"/>
          </w:rPr>
          <w:t>.</w:t>
        </w:r>
        <w:r w:rsidR="00686281">
          <w:rPr>
            <w:rStyle w:val="afff0"/>
          </w:rPr>
          <w:t>ru</w:t>
        </w:r>
      </w:hyperlink>
      <w:r>
        <w:rPr>
          <w:lang w:val="ru-RU"/>
        </w:rPr>
        <w:t xml:space="preserve">, </w:t>
      </w:r>
      <w:hyperlink r:id="rId17" w:tooltip="mailto:info@stan-torgi.ru" w:history="1">
        <w:r w:rsidR="00686281">
          <w:rPr>
            <w:rStyle w:val="afff0"/>
          </w:rPr>
          <w:t>info</w:t>
        </w:r>
        <w:r w:rsidR="00686281">
          <w:rPr>
            <w:rStyle w:val="afff0"/>
            <w:lang w:val="ru-RU"/>
          </w:rPr>
          <w:t>@stan-torgi.ru</w:t>
        </w:r>
      </w:hyperlink>
      <w:r>
        <w:rPr>
          <w:lang w:val="ru-RU"/>
        </w:rPr>
        <w:t xml:space="preserve"> или через раздел «Сообщения». При отказе от Тарифа доступ Пользователя к соответствующей секции (сервису) прекращается; абонентская плата, уплаченная за текущий оплаченный период, не возвращается (пункт 10.4 Соглашения).</w:t>
      </w:r>
    </w:p>
    <w:p w14:paraId="43933117" w14:textId="77777777" w:rsidR="00686281" w:rsidRDefault="00000000">
      <w:pPr>
        <w:spacing w:before="200"/>
        <w:ind w:firstLine="567"/>
        <w:jc w:val="both"/>
        <w:rPr>
          <w:lang w:val="ru-RU"/>
        </w:rPr>
      </w:pPr>
      <w:r>
        <w:rPr>
          <w:b/>
          <w:sz w:val="24"/>
          <w:lang w:val="ru-RU"/>
        </w:rPr>
        <w:t>8. Электронный документооборот и подписание документов (КЭП)</w:t>
      </w:r>
    </w:p>
    <w:p w14:paraId="00CF1514" w14:textId="77777777" w:rsidR="00686281" w:rsidRDefault="00000000">
      <w:pPr>
        <w:ind w:firstLine="567"/>
        <w:jc w:val="both"/>
        <w:rPr>
          <w:lang w:val="ru-RU"/>
        </w:rPr>
      </w:pPr>
      <w:r>
        <w:rPr>
          <w:lang w:val="ru-RU"/>
        </w:rPr>
        <w:t>8.1. Электронные документы, для которых Соглашением и приложениями к нему предусмотрено подписание электронной подписью, подписываются КЭП, сертификат которой привязан Пользователем к своей учётной записи в разделе «Электронная подпись» (пункт 5.11 настоящего Руководства). При подписании документов от имени организации Система проверяет основание полномочий подписанта — сертификат КЭП руководителя либо машиночитаемую доверенность (пункт 5.3 Общего описания функциональных возможностей, пункт 1.4 Правил регистрации и аккредитации Пользователей).</w:t>
      </w:r>
    </w:p>
    <w:p w14:paraId="23684BF3" w14:textId="77777777" w:rsidR="00686281" w:rsidRDefault="00000000">
      <w:pPr>
        <w:ind w:firstLine="567"/>
        <w:jc w:val="both"/>
        <w:rPr>
          <w:lang w:val="ru-RU"/>
        </w:rPr>
      </w:pPr>
      <w:r>
        <w:rPr>
          <w:lang w:val="ru-RU"/>
        </w:rPr>
        <w:t>8.2. КЭП (УКЭП) — усиленная квалифицированная электронная подпись, соответствующая требованиям Федерального закона от 06.04.2011 № 63-ФЗ «Об электронной подписи». Электронные документы, подписанные электронной подписью в соответствии с указанным Федеральным законом, признаются Сторонами равнозначными документам на бумажном носителе, подписанным собственноручной подписью (пункт 12.2 Соглашения).</w:t>
      </w:r>
    </w:p>
    <w:p w14:paraId="73367F25" w14:textId="77777777" w:rsidR="00686281" w:rsidRDefault="00000000">
      <w:pPr>
        <w:ind w:firstLine="567"/>
        <w:jc w:val="both"/>
        <w:rPr>
          <w:lang w:val="ru-RU"/>
        </w:rPr>
      </w:pPr>
      <w:r>
        <w:rPr>
          <w:lang w:val="ru-RU"/>
        </w:rPr>
        <w:t>8.3. В Личном кабинете КЭП подписываются:</w:t>
      </w:r>
    </w:p>
    <w:p w14:paraId="0CB899EE" w14:textId="77777777" w:rsidR="00686281" w:rsidRDefault="00000000">
      <w:pPr>
        <w:ind w:firstLine="567"/>
        <w:jc w:val="both"/>
        <w:rPr>
          <w:lang w:val="ru-RU"/>
        </w:rPr>
      </w:pPr>
      <w:r>
        <w:rPr>
          <w:lang w:val="ru-RU"/>
        </w:rPr>
        <w:t>а) подтверждение входа в Личный кабинет (пункт 2.4 настоящего Руководства);</w:t>
      </w:r>
    </w:p>
    <w:p w14:paraId="20F5F57D" w14:textId="77777777" w:rsidR="00686281" w:rsidRDefault="00000000">
      <w:pPr>
        <w:ind w:firstLine="567"/>
        <w:jc w:val="both"/>
        <w:rPr>
          <w:lang w:val="ru-RU"/>
        </w:rPr>
      </w:pPr>
      <w:r>
        <w:rPr>
          <w:lang w:val="ru-RU"/>
        </w:rPr>
        <w:t>б) привязка сертификата КЭП к учётной записи (пункт 5.11 настоящего Руководства);</w:t>
      </w:r>
    </w:p>
    <w:p w14:paraId="16D76E77" w14:textId="77777777" w:rsidR="00686281" w:rsidRDefault="00000000">
      <w:pPr>
        <w:ind w:firstLine="567"/>
        <w:jc w:val="both"/>
        <w:rPr>
          <w:lang w:val="ru-RU"/>
        </w:rPr>
      </w:pPr>
      <w:r>
        <w:rPr>
          <w:lang w:val="ru-RU"/>
        </w:rPr>
        <w:t>в) добавление организации по сертификату КЭП руководителя (пункт 5.1 настоящего Руководства);</w:t>
      </w:r>
    </w:p>
    <w:p w14:paraId="61B58B98" w14:textId="77777777" w:rsidR="00686281" w:rsidRDefault="00000000">
      <w:pPr>
        <w:ind w:firstLine="567"/>
        <w:jc w:val="both"/>
        <w:rPr>
          <w:lang w:val="ru-RU"/>
        </w:rPr>
      </w:pPr>
      <w:r>
        <w:rPr>
          <w:lang w:val="ru-RU"/>
        </w:rPr>
        <w:t>г) заявка на участие в Процедуре (подписываются данные заявки; вложенные файлы входят в состав заявки);</w:t>
      </w:r>
    </w:p>
    <w:p w14:paraId="0CB9212F" w14:textId="77777777" w:rsidR="00686281" w:rsidRDefault="00000000">
      <w:pPr>
        <w:ind w:firstLine="567"/>
        <w:jc w:val="both"/>
        <w:rPr>
          <w:lang w:val="ru-RU"/>
        </w:rPr>
      </w:pPr>
      <w:r>
        <w:rPr>
          <w:lang w:val="ru-RU"/>
        </w:rPr>
        <w:t>д) ценовое предложение на аукционе;</w:t>
      </w:r>
    </w:p>
    <w:p w14:paraId="353ACF2F" w14:textId="77777777" w:rsidR="00686281" w:rsidRDefault="00000000">
      <w:pPr>
        <w:ind w:firstLine="567"/>
        <w:jc w:val="both"/>
        <w:rPr>
          <w:lang w:val="ru-RU"/>
        </w:rPr>
      </w:pPr>
      <w:r>
        <w:rPr>
          <w:lang w:val="ru-RU"/>
        </w:rPr>
        <w:t>е) ценовое предложение на переторжке;</w:t>
      </w:r>
    </w:p>
    <w:p w14:paraId="2C2B0003" w14:textId="77777777" w:rsidR="00686281" w:rsidRDefault="00000000">
      <w:pPr>
        <w:ind w:firstLine="567"/>
        <w:jc w:val="both"/>
        <w:rPr>
          <w:lang w:val="ru-RU"/>
        </w:rPr>
      </w:pPr>
      <w:r>
        <w:rPr>
          <w:lang w:val="ru-RU"/>
        </w:rPr>
        <w:t>ж) протоколы — членами закупочной комиссии КЭП либо путём приложения подписанного скан-образа протокола; протокол проведения аукциона формируется Системой;</w:t>
      </w:r>
    </w:p>
    <w:p w14:paraId="08AC46F0" w14:textId="77777777" w:rsidR="00686281" w:rsidRDefault="00000000">
      <w:pPr>
        <w:ind w:firstLine="567"/>
        <w:jc w:val="both"/>
        <w:rPr>
          <w:lang w:val="ru-RU"/>
        </w:rPr>
      </w:pPr>
      <w:r>
        <w:rPr>
          <w:lang w:val="ru-RU"/>
        </w:rPr>
        <w:t>з) договор и дополнительные соглашения к нему — обеими сторонами;</w:t>
      </w:r>
    </w:p>
    <w:p w14:paraId="542A227A" w14:textId="77777777" w:rsidR="00686281" w:rsidRDefault="00000000">
      <w:pPr>
        <w:ind w:firstLine="567"/>
        <w:jc w:val="both"/>
        <w:rPr>
          <w:lang w:val="ru-RU"/>
        </w:rPr>
      </w:pPr>
      <w:r>
        <w:rPr>
          <w:lang w:val="ru-RU"/>
        </w:rPr>
        <w:t xml:space="preserve">и) пакеты сведений, направляемые в ЕИС, — КЭП Заказчика;</w:t>
      </w:r>
    </w:p>
    <w:p w14:paraId="542A227A" w14:textId="77777777" w:rsidR="00686281" w:rsidRDefault="00000000">
      <w:pPr>
        <w:ind w:firstLine="567"/>
        <w:jc w:val="both"/>
        <w:rPr>
          <w:lang w:val="ru-RU"/>
        </w:rPr>
      </w:pPr>
      <w:r>
        <w:rPr>
          <w:lang w:val="ru-RU"/>
        </w:rPr>
        <w:t xml:space="preserve">к) заявка на вывод денежных средств (пункт 6.9 настоящего Руководства).</w:t>
      </w:r>
    </w:p>
    <w:p w14:paraId="6F79927C" w14:textId="77777777" w:rsidR="00686281" w:rsidRDefault="00000000">
      <w:pPr>
        <w:ind w:firstLine="567"/>
        <w:jc w:val="both"/>
        <w:rPr>
          <w:lang w:val="ru-RU"/>
        </w:rPr>
      </w:pPr>
      <w:r>
        <w:rPr>
          <w:lang w:val="ru-RU"/>
        </w:rPr>
        <w:t>8.4. Без электронной подписи совершаются: регистрация учётной записи, подача заявки на аккредитацию, обмен сообщениями. Проверка электронной подписи Системой носит технический характер; при возникновении спора подпись проверяется сертифицированным средством.</w:t>
      </w:r>
    </w:p>
    <w:p w14:paraId="25F59C07" w14:textId="77777777" w:rsidR="00686281" w:rsidRDefault="00000000">
      <w:pPr>
        <w:ind w:firstLine="567"/>
        <w:jc w:val="both"/>
        <w:rPr>
          <w:lang w:val="ru-RU"/>
        </w:rPr>
      </w:pPr>
      <w:r>
        <w:rPr>
          <w:lang w:val="ru-RU"/>
        </w:rPr>
        <w:t>8.5. Пользователи несут ответственность за сохранность и надлежащее использование КЭП и их ключевых носителей в соответствии с законодательством Российской Федерации (пункт 5.4 Общего описания функциональных возможностей). Передача ключей электронной подписи лицам, не уполномоченным Пользователем, не допускается.</w:t>
      </w:r>
    </w:p>
    <w:p w14:paraId="5A6F917B" w14:textId="77777777" w:rsidR="00686281" w:rsidRDefault="00000000">
      <w:pPr>
        <w:ind w:firstLine="567"/>
        <w:jc w:val="both"/>
        <w:rPr>
          <w:lang w:val="ru-RU"/>
        </w:rPr>
      </w:pPr>
      <w:r>
        <w:rPr>
          <w:lang w:val="ru-RU"/>
        </w:rPr>
        <w:lastRenderedPageBreak/>
        <w:t>8.6. Время создания, получения и отправки всех электронных документов фиксируется по московскому времени сервера, на котором функционирует программное обеспечение ЭТП; время сервера ЭТП синхронизируется с одним из серверов точного времени посредством протокола NTP (Network Time Protocol) один раз в час (пункт 5.5 Общего описания функциональных возможностей).</w:t>
      </w:r>
    </w:p>
    <w:p w14:paraId="052D0CD4" w14:textId="77777777" w:rsidR="00686281" w:rsidRDefault="00000000">
      <w:pPr>
        <w:ind w:firstLine="567"/>
        <w:jc w:val="both"/>
        <w:rPr>
          <w:lang w:val="ru-RU"/>
        </w:rPr>
      </w:pPr>
      <w:r>
        <w:rPr>
          <w:lang w:val="ru-RU"/>
        </w:rPr>
        <w:t>8.7. Сведения о подписании электронных документов (дата, время, подписант и сертификат КЭП) фиксируются Системой в порядке, установленном пунктом 1.7 настоящего Руководства (пункт 5.1 Общего описания функциональных возможностей).</w:t>
      </w:r>
    </w:p>
    <w:p w14:paraId="2C51DF22" w14:textId="77777777" w:rsidR="00686281" w:rsidRDefault="00000000">
      <w:pPr>
        <w:ind w:firstLine="567"/>
        <w:jc w:val="both"/>
        <w:rPr>
          <w:lang w:val="ru-RU"/>
        </w:rPr>
      </w:pPr>
      <w:r>
        <w:rPr>
          <w:lang w:val="ru-RU"/>
        </w:rPr>
        <w:t>8.8. Хранение и своевременное уничтожение электронных документов в Системе осуществляются в соответствии с законодательством Российской Федерации (пункт 5.6 Общего описания функциональных возможностей).</w:t>
      </w:r>
    </w:p>
    <w:p w14:paraId="5BE9E514" w14:textId="77777777" w:rsidR="00686281" w:rsidRDefault="00000000">
      <w:pPr>
        <w:ind w:firstLine="567"/>
        <w:jc w:val="both"/>
        <w:rPr>
          <w:lang w:val="ru-RU"/>
        </w:rPr>
      </w:pPr>
      <w:r>
        <w:rPr>
          <w:lang w:val="ru-RU"/>
        </w:rPr>
        <w:t>8.9. При замене электронной подписи (прекращении срока её действия) Пользователь привязывает к учётной записи сертификат новой КЭП в порядке, установленном пунктом 5.12 настоящего Руководства. Для подписания электронных документов на рабочем месте Пользователя устанавливаются средства криптографической защиты информации (КриптоПро CSP) и КриптоПро ЭЦП Browser plug-in (пункт 2.10 настоящего Руководства).</w:t>
      </w:r>
    </w:p>
    <w:p w14:paraId="37062647" w14:textId="77777777" w:rsidR="00686281" w:rsidRDefault="00000000">
      <w:pPr>
        <w:spacing w:before="200"/>
        <w:ind w:firstLine="567"/>
        <w:jc w:val="both"/>
        <w:rPr>
          <w:lang w:val="ru-RU"/>
        </w:rPr>
      </w:pPr>
      <w:r>
        <w:rPr>
          <w:b/>
          <w:sz w:val="24"/>
          <w:lang w:val="ru-RU"/>
        </w:rPr>
        <w:t>9. Уведомления и сообщения</w:t>
      </w:r>
    </w:p>
    <w:p w14:paraId="01F74EDC" w14:textId="77777777" w:rsidR="00686281" w:rsidRDefault="00000000">
      <w:pPr>
        <w:ind w:firstLine="567"/>
        <w:jc w:val="both"/>
        <w:rPr>
          <w:lang w:val="ru-RU"/>
        </w:rPr>
      </w:pPr>
      <w:r>
        <w:rPr>
          <w:lang w:val="ru-RU"/>
        </w:rPr>
        <w:t>9.1. Раздел «Сообщения» — служба информационного обмена (переписки) между Пользователями в Личном кабинете; к сообщению могут быть приложены файлы. Сообщения электронной подписью не подписываются; юридически значимые документы через раздел «Сообщения» не направляются (пункт 3.4 Общего описания функциональных возможностей).</w:t>
      </w:r>
    </w:p>
    <w:p w14:paraId="0798F1F7" w14:textId="77777777" w:rsidR="00686281" w:rsidRDefault="00000000">
      <w:pPr>
        <w:ind w:firstLine="567"/>
        <w:jc w:val="both"/>
        <w:rPr>
          <w:lang w:val="ru-RU"/>
        </w:rPr>
      </w:pPr>
      <w:r>
        <w:rPr>
          <w:lang w:val="ru-RU"/>
        </w:rPr>
        <w:t>9.2. Уведомления о событиях, касающихся Пользователя и его организаций (в том числе о решениях Оператора по модерации и аккредитации, заявках на присоединение, событиях Процедур, договорах и операциях по лицевому счёту), размещаются в разделе «Уведомления» Личного кабинета и дублируются на адрес электронной почты учётной записи. В разделе «Уведомления» отображаются дата и событие; переход к объекту уведомления — ссылка «Открыть», отметка уведомлений прочитанными — «Отметить всё прочитанным».</w:t>
      </w:r>
    </w:p>
    <w:p w14:paraId="11875260" w14:textId="77777777" w:rsidR="00686281" w:rsidRDefault="00000000">
      <w:pPr>
        <w:ind w:firstLine="567"/>
        <w:jc w:val="both"/>
        <w:rPr>
          <w:lang w:val="ru-RU"/>
        </w:rPr>
      </w:pPr>
      <w:r>
        <w:rPr>
          <w:lang w:val="ru-RU"/>
        </w:rPr>
        <w:t>9.3. Документы и сведения, направляемые Сторонами в соответствии с Соглашением, если иной порядок не предусмотрен Соглашением или приложениями к нему, направляются в электронной форме через Личный кабинет и (или) на адрес электронной почты, указанный Пользователем при регистрации (пункт 12.1 Соглашения).</w:t>
      </w:r>
    </w:p>
    <w:p w14:paraId="0F6FD57B" w14:textId="77777777" w:rsidR="00686281" w:rsidRDefault="00000000">
      <w:pPr>
        <w:ind w:firstLine="567"/>
        <w:jc w:val="both"/>
        <w:rPr>
          <w:lang w:val="ru-RU"/>
        </w:rPr>
      </w:pPr>
      <w:r>
        <w:rPr>
          <w:lang w:val="ru-RU"/>
        </w:rPr>
        <w:t>9.4. Пользователь обязан обеспечить получение направляемых ему уведомлений: своевременно сообщать об изменении адреса электронной почты учётной записи и актуализировать контактные сведения в карточке организации (пункт 5.4 настоящего Руководства). Риск неполучения уведомлений, направленных по указанным Пользователем адресам, несёт Пользователь.</w:t>
      </w:r>
    </w:p>
    <w:p w14:paraId="505D8525" w14:textId="77777777" w:rsidR="00686281" w:rsidRDefault="00000000">
      <w:pPr>
        <w:ind w:firstLine="567"/>
        <w:jc w:val="both"/>
        <w:rPr>
          <w:lang w:val="ru-RU"/>
        </w:rPr>
      </w:pPr>
      <w:r>
        <w:rPr>
          <w:lang w:val="ru-RU"/>
        </w:rPr>
        <w:t>9.5. Уведомления, размещённые в Личном кабинете, считаются полученными Пользователем в порядке, установленном Соглашением.</w:t>
      </w:r>
    </w:p>
    <w:p w14:paraId="2EC9BA24" w14:textId="77777777" w:rsidR="00686281" w:rsidRDefault="00000000">
      <w:pPr>
        <w:ind w:firstLine="567"/>
        <w:jc w:val="both"/>
        <w:rPr>
          <w:lang w:val="ru-RU"/>
        </w:rPr>
      </w:pPr>
      <w:r>
        <w:rPr>
          <w:lang w:val="ru-RU"/>
        </w:rPr>
        <w:t xml:space="preserve">9.6. По вопросам работы в Личном кабинете, оплаты Тарифов, операций по лицевому счёту и подписания документов Пользователь обращается в службу поддержки Оператора: </w:t>
      </w:r>
      <w:hyperlink r:id="rId18" w:tooltip="mailto:support@stan-torgi.ru" w:history="1">
        <w:r w:rsidR="00686281">
          <w:rPr>
            <w:rStyle w:val="afff0"/>
            <w:lang w:val="ru-RU"/>
          </w:rPr>
          <w:t>support@stan-torgi.ru</w:t>
        </w:r>
      </w:hyperlink>
      <w:r>
        <w:rPr>
          <w:lang w:val="ru-RU"/>
        </w:rPr>
        <w:t xml:space="preserve">, </w:t>
      </w:r>
      <w:hyperlink r:id="rId19" w:tooltip="mailto:info@stan-torgi.ru" w:history="1">
        <w:r w:rsidR="00686281">
          <w:rPr>
            <w:rStyle w:val="afff0"/>
            <w:lang w:val="ru-RU"/>
          </w:rPr>
          <w:t>info@stan-torgi.ru</w:t>
        </w:r>
      </w:hyperlink>
      <w:r>
        <w:rPr>
          <w:lang w:val="ru-RU"/>
        </w:rPr>
        <w:t>, или по телефону, указанному на сайте Оператора.</w:t>
      </w:r>
    </w:p>
    <w:p w14:paraId="0BF6C335" w14:textId="77777777" w:rsidR="00686281" w:rsidRDefault="00000000">
      <w:pPr>
        <w:spacing w:before="200"/>
        <w:ind w:firstLine="567"/>
        <w:jc w:val="both"/>
        <w:rPr>
          <w:lang w:val="ru-RU"/>
        </w:rPr>
      </w:pPr>
      <w:r>
        <w:rPr>
          <w:b/>
          <w:sz w:val="24"/>
          <w:lang w:val="ru-RU"/>
        </w:rPr>
        <w:t>10. Иные положения</w:t>
      </w:r>
    </w:p>
    <w:p w14:paraId="14AB90B6" w14:textId="77777777" w:rsidR="00686281" w:rsidRDefault="00000000">
      <w:pPr>
        <w:ind w:firstLine="567"/>
        <w:jc w:val="both"/>
        <w:rPr>
          <w:lang w:val="ru-RU"/>
        </w:rPr>
      </w:pPr>
      <w:r>
        <w:rPr>
          <w:lang w:val="ru-RU"/>
        </w:rPr>
        <w:t xml:space="preserve">10.1. Настоящее Руководство применяется с учётом требований Федерального закона от 18.07.2011 № 223-ФЗ «О закупках товаров, работ, услуг отдельными видами юридических лиц» в </w:t>
      </w:r>
      <w:r>
        <w:rPr>
          <w:lang w:val="ru-RU"/>
        </w:rPr>
        <w:lastRenderedPageBreak/>
        <w:t>части проведения Процедур в секции Системы «Закупки по 223-ФЗ», а также антимонопольных требований, установленных статьёй 17 Федерального закона от 26.07.2006 № 135-ФЗ «О защите конкуренции» (пункт 1.7 Соглашения).</w:t>
      </w:r>
    </w:p>
    <w:p w14:paraId="14DB6266" w14:textId="77777777" w:rsidR="00686281" w:rsidRDefault="00000000">
      <w:pPr>
        <w:ind w:firstLine="567"/>
        <w:jc w:val="both"/>
        <w:rPr>
          <w:lang w:val="ru-RU"/>
        </w:rPr>
      </w:pPr>
      <w:r>
        <w:rPr>
          <w:lang w:val="ru-RU"/>
        </w:rPr>
        <w:t>10.2. В случае противоречия положений настоящего Руководства законодательству Российской Федерации, Соглашению и приложениям к нему применяются законодательство Российской Федерации, Соглашение и приложения к нему.</w:t>
      </w:r>
    </w:p>
    <w:p w14:paraId="3F5A9316" w14:textId="77777777" w:rsidR="00686281" w:rsidRDefault="00000000">
      <w:pPr>
        <w:ind w:firstLine="567"/>
        <w:jc w:val="both"/>
        <w:rPr>
          <w:lang w:val="ru-RU"/>
        </w:rPr>
      </w:pPr>
      <w:r>
        <w:rPr>
          <w:lang w:val="ru-RU"/>
        </w:rPr>
        <w:t xml:space="preserve">10.3. Изменения в настоящее Руководство вносятся в порядке, установленном пунктом 10.2 Соглашения, публикуются на сайте ЭТП и (или) в Личном кабинете Пользователя </w:t>
      </w:r>
      <w:r>
        <w:rPr>
          <w:color w:val="FF0000"/>
          <w:lang w:val="ru-RU"/>
        </w:rPr>
        <w:t>и вступают в силу с даты опубликования. Актуальная редакция</w:t>
      </w:r>
      <w:r>
        <w:rPr>
          <w:lang w:val="ru-RU"/>
        </w:rPr>
        <w:t xml:space="preserve"> Руководства доступна на сайте ЭТП.</w:t>
      </w:r>
    </w:p>
    <w:p w14:paraId="10C97708" w14:textId="77777777" w:rsidR="00686281" w:rsidRDefault="00000000">
      <w:pPr>
        <w:ind w:firstLine="567"/>
        <w:jc w:val="both"/>
        <w:rPr>
          <w:lang w:val="ru-RU"/>
        </w:rPr>
      </w:pPr>
      <w:r>
        <w:rPr>
          <w:lang w:val="ru-RU"/>
        </w:rPr>
        <w:t>10.4. Настоящее Руководство является Приложением № 5 к Пользовательскому соглашению о предоставлении права использования функциональных возможностей ЭТП «СТАН-Торги».</w:t>
      </w:r>
    </w:p>
    <w:sectPr w:rsidR="00686281">
      <w:footerReference w:type="default" r:id="rId20"/>
      <w:pgSz w:w="11906" w:h="16838"/>
      <w:pgMar w:top="1134" w:right="850"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192122" w14:textId="77777777" w:rsidR="008137F6" w:rsidRDefault="008137F6">
      <w:pPr>
        <w:spacing w:after="0" w:line="240" w:lineRule="auto"/>
      </w:pPr>
      <w:r>
        <w:separator/>
      </w:r>
    </w:p>
  </w:endnote>
  <w:endnote w:type="continuationSeparator" w:id="0">
    <w:p w14:paraId="2C93AED2" w14:textId="77777777" w:rsidR="008137F6" w:rsidRDefault="008137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ans">
    <w:charset w:val="00"/>
    <w:family w:val="auto"/>
    <w:pitch w:val="default"/>
  </w:font>
  <w:font w:name="Calibri">
    <w:panose1 w:val="020F0502020204030204"/>
    <w:charset w:val="CC"/>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EB0D1" w14:textId="77777777" w:rsidR="00686281" w:rsidRDefault="00000000">
    <w:pPr>
      <w:pStyle w:val="af0"/>
      <w:jc w:val="center"/>
    </w:pPr>
    <w:r>
      <w:t xml:space="preserve">Страница </w:t>
    </w:r>
    <w:r>
      <w:fldChar w:fldCharType="begin"/>
    </w:r>
    <w:r>
      <w:instrText xml:space="preserve"> PAGE </w:instrText>
    </w:r>
    <w:r>
      <w:fldChar w:fldCharType="separate"/>
    </w:r>
    <w:r>
      <w:t>1</w:t>
    </w:r>
    <w:r>
      <w:fldChar w:fldCharType="end"/>
    </w:r>
    <w:r>
      <w:t xml:space="preserve"> из </w:t>
    </w:r>
    <w:fldSimple w:instr="NUMPAGES \* MERGEFORMAT">
      <w:r w:rsidR="00686281">
        <w:t>15</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9EE290" w14:textId="77777777" w:rsidR="008137F6" w:rsidRDefault="008137F6">
      <w:pPr>
        <w:spacing w:after="0" w:line="240" w:lineRule="auto"/>
      </w:pPr>
      <w:r>
        <w:separator/>
      </w:r>
    </w:p>
  </w:footnote>
  <w:footnote w:type="continuationSeparator" w:id="0">
    <w:p w14:paraId="6357A1D1" w14:textId="77777777" w:rsidR="008137F6" w:rsidRDefault="008137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D4442"/>
    <w:multiLevelType w:val="hybridMultilevel"/>
    <w:tmpl w:val="CCBE0EEA"/>
    <w:lvl w:ilvl="0" w:tplc="6ECA9820">
      <w:start w:val="1"/>
      <w:numFmt w:val="decimal"/>
      <w:lvlText w:val="%1."/>
      <w:lvlJc w:val="left"/>
      <w:pPr>
        <w:tabs>
          <w:tab w:val="num" w:pos="1440"/>
        </w:tabs>
        <w:ind w:left="1440" w:hanging="360"/>
      </w:pPr>
    </w:lvl>
    <w:lvl w:ilvl="1" w:tplc="951A9F14">
      <w:start w:val="1"/>
      <w:numFmt w:val="bullet"/>
      <w:lvlText w:val="o"/>
      <w:lvlJc w:val="left"/>
      <w:pPr>
        <w:ind w:left="1440" w:hanging="360"/>
      </w:pPr>
      <w:rPr>
        <w:rFonts w:ascii="Courier New" w:eastAsia="Courier New" w:hAnsi="Courier New" w:cs="Courier New" w:hint="default"/>
      </w:rPr>
    </w:lvl>
    <w:lvl w:ilvl="2" w:tplc="5A92E7E2">
      <w:start w:val="1"/>
      <w:numFmt w:val="bullet"/>
      <w:lvlText w:val="§"/>
      <w:lvlJc w:val="left"/>
      <w:pPr>
        <w:ind w:left="2160" w:hanging="360"/>
      </w:pPr>
      <w:rPr>
        <w:rFonts w:ascii="Wingdings" w:eastAsia="Wingdings" w:hAnsi="Wingdings" w:cs="Wingdings" w:hint="default"/>
      </w:rPr>
    </w:lvl>
    <w:lvl w:ilvl="3" w:tplc="4E9C3C2C">
      <w:start w:val="1"/>
      <w:numFmt w:val="bullet"/>
      <w:lvlText w:val="·"/>
      <w:lvlJc w:val="left"/>
      <w:pPr>
        <w:ind w:left="2880" w:hanging="360"/>
      </w:pPr>
      <w:rPr>
        <w:rFonts w:ascii="Symbol" w:eastAsia="Symbol" w:hAnsi="Symbol" w:cs="Symbol" w:hint="default"/>
      </w:rPr>
    </w:lvl>
    <w:lvl w:ilvl="4" w:tplc="BB868BE2">
      <w:start w:val="1"/>
      <w:numFmt w:val="bullet"/>
      <w:lvlText w:val="o"/>
      <w:lvlJc w:val="left"/>
      <w:pPr>
        <w:ind w:left="3600" w:hanging="360"/>
      </w:pPr>
      <w:rPr>
        <w:rFonts w:ascii="Courier New" w:eastAsia="Courier New" w:hAnsi="Courier New" w:cs="Courier New" w:hint="default"/>
      </w:rPr>
    </w:lvl>
    <w:lvl w:ilvl="5" w:tplc="C39A83F4">
      <w:start w:val="1"/>
      <w:numFmt w:val="bullet"/>
      <w:lvlText w:val="§"/>
      <w:lvlJc w:val="left"/>
      <w:pPr>
        <w:ind w:left="4320" w:hanging="360"/>
      </w:pPr>
      <w:rPr>
        <w:rFonts w:ascii="Wingdings" w:eastAsia="Wingdings" w:hAnsi="Wingdings" w:cs="Wingdings" w:hint="default"/>
      </w:rPr>
    </w:lvl>
    <w:lvl w:ilvl="6" w:tplc="951E3726">
      <w:start w:val="1"/>
      <w:numFmt w:val="bullet"/>
      <w:lvlText w:val="·"/>
      <w:lvlJc w:val="left"/>
      <w:pPr>
        <w:ind w:left="5040" w:hanging="360"/>
      </w:pPr>
      <w:rPr>
        <w:rFonts w:ascii="Symbol" w:eastAsia="Symbol" w:hAnsi="Symbol" w:cs="Symbol" w:hint="default"/>
      </w:rPr>
    </w:lvl>
    <w:lvl w:ilvl="7" w:tplc="3EC8DE82">
      <w:start w:val="1"/>
      <w:numFmt w:val="bullet"/>
      <w:lvlText w:val="o"/>
      <w:lvlJc w:val="left"/>
      <w:pPr>
        <w:ind w:left="5760" w:hanging="360"/>
      </w:pPr>
      <w:rPr>
        <w:rFonts w:ascii="Courier New" w:eastAsia="Courier New" w:hAnsi="Courier New" w:cs="Courier New" w:hint="default"/>
      </w:rPr>
    </w:lvl>
    <w:lvl w:ilvl="8" w:tplc="BE68245A">
      <w:start w:val="1"/>
      <w:numFmt w:val="bullet"/>
      <w:lvlText w:val="§"/>
      <w:lvlJc w:val="left"/>
      <w:pPr>
        <w:ind w:left="6480" w:hanging="360"/>
      </w:pPr>
      <w:rPr>
        <w:rFonts w:ascii="Wingdings" w:eastAsia="Wingdings" w:hAnsi="Wingdings" w:cs="Wingdings" w:hint="default"/>
      </w:rPr>
    </w:lvl>
  </w:abstractNum>
  <w:abstractNum w:abstractNumId="1" w15:restartNumberingAfterBreak="0">
    <w:nsid w:val="05AE247D"/>
    <w:multiLevelType w:val="hybridMultilevel"/>
    <w:tmpl w:val="2B188F7E"/>
    <w:lvl w:ilvl="0" w:tplc="6AEC48A6">
      <w:start w:val="1"/>
      <w:numFmt w:val="bullet"/>
      <w:pStyle w:val="3"/>
      <w:lvlText w:val=""/>
      <w:lvlJc w:val="left"/>
      <w:pPr>
        <w:tabs>
          <w:tab w:val="num" w:pos="1080"/>
        </w:tabs>
        <w:ind w:left="1080" w:hanging="360"/>
      </w:pPr>
      <w:rPr>
        <w:rFonts w:ascii="Symbol" w:hAnsi="Symbol" w:hint="default"/>
      </w:rPr>
    </w:lvl>
    <w:lvl w:ilvl="1" w:tplc="87ECF21A">
      <w:start w:val="1"/>
      <w:numFmt w:val="bullet"/>
      <w:lvlText w:val="o"/>
      <w:lvlJc w:val="left"/>
      <w:pPr>
        <w:ind w:left="1440" w:hanging="360"/>
      </w:pPr>
      <w:rPr>
        <w:rFonts w:ascii="Courier New" w:eastAsia="Courier New" w:hAnsi="Courier New" w:cs="Courier New" w:hint="default"/>
      </w:rPr>
    </w:lvl>
    <w:lvl w:ilvl="2" w:tplc="8BB4E32E">
      <w:start w:val="1"/>
      <w:numFmt w:val="bullet"/>
      <w:lvlText w:val="§"/>
      <w:lvlJc w:val="left"/>
      <w:pPr>
        <w:ind w:left="2160" w:hanging="360"/>
      </w:pPr>
      <w:rPr>
        <w:rFonts w:ascii="Wingdings" w:eastAsia="Wingdings" w:hAnsi="Wingdings" w:cs="Wingdings" w:hint="default"/>
      </w:rPr>
    </w:lvl>
    <w:lvl w:ilvl="3" w:tplc="DF5EAF94">
      <w:start w:val="1"/>
      <w:numFmt w:val="bullet"/>
      <w:lvlText w:val="·"/>
      <w:lvlJc w:val="left"/>
      <w:pPr>
        <w:ind w:left="2880" w:hanging="360"/>
      </w:pPr>
      <w:rPr>
        <w:rFonts w:ascii="Symbol" w:eastAsia="Symbol" w:hAnsi="Symbol" w:cs="Symbol" w:hint="default"/>
      </w:rPr>
    </w:lvl>
    <w:lvl w:ilvl="4" w:tplc="72D4C904">
      <w:start w:val="1"/>
      <w:numFmt w:val="bullet"/>
      <w:lvlText w:val="o"/>
      <w:lvlJc w:val="left"/>
      <w:pPr>
        <w:ind w:left="3600" w:hanging="360"/>
      </w:pPr>
      <w:rPr>
        <w:rFonts w:ascii="Courier New" w:eastAsia="Courier New" w:hAnsi="Courier New" w:cs="Courier New" w:hint="default"/>
      </w:rPr>
    </w:lvl>
    <w:lvl w:ilvl="5" w:tplc="4776F13C">
      <w:start w:val="1"/>
      <w:numFmt w:val="bullet"/>
      <w:lvlText w:val="§"/>
      <w:lvlJc w:val="left"/>
      <w:pPr>
        <w:ind w:left="4320" w:hanging="360"/>
      </w:pPr>
      <w:rPr>
        <w:rFonts w:ascii="Wingdings" w:eastAsia="Wingdings" w:hAnsi="Wingdings" w:cs="Wingdings" w:hint="default"/>
      </w:rPr>
    </w:lvl>
    <w:lvl w:ilvl="6" w:tplc="308E3B42">
      <w:start w:val="1"/>
      <w:numFmt w:val="bullet"/>
      <w:lvlText w:val="·"/>
      <w:lvlJc w:val="left"/>
      <w:pPr>
        <w:ind w:left="5040" w:hanging="360"/>
      </w:pPr>
      <w:rPr>
        <w:rFonts w:ascii="Symbol" w:eastAsia="Symbol" w:hAnsi="Symbol" w:cs="Symbol" w:hint="default"/>
      </w:rPr>
    </w:lvl>
    <w:lvl w:ilvl="7" w:tplc="D16CA506">
      <w:start w:val="1"/>
      <w:numFmt w:val="bullet"/>
      <w:lvlText w:val="o"/>
      <w:lvlJc w:val="left"/>
      <w:pPr>
        <w:ind w:left="5760" w:hanging="360"/>
      </w:pPr>
      <w:rPr>
        <w:rFonts w:ascii="Courier New" w:eastAsia="Courier New" w:hAnsi="Courier New" w:cs="Courier New" w:hint="default"/>
      </w:rPr>
    </w:lvl>
    <w:lvl w:ilvl="8" w:tplc="665A07BC">
      <w:start w:val="1"/>
      <w:numFmt w:val="bullet"/>
      <w:lvlText w:val="§"/>
      <w:lvlJc w:val="left"/>
      <w:pPr>
        <w:ind w:left="6480" w:hanging="360"/>
      </w:pPr>
      <w:rPr>
        <w:rFonts w:ascii="Wingdings" w:eastAsia="Wingdings" w:hAnsi="Wingdings" w:cs="Wingdings" w:hint="default"/>
      </w:rPr>
    </w:lvl>
  </w:abstractNum>
  <w:abstractNum w:abstractNumId="2" w15:restartNumberingAfterBreak="0">
    <w:nsid w:val="0BC35F72"/>
    <w:multiLevelType w:val="hybridMultilevel"/>
    <w:tmpl w:val="B6CE7D20"/>
    <w:lvl w:ilvl="0" w:tplc="90883138">
      <w:start w:val="1"/>
      <w:numFmt w:val="bullet"/>
      <w:pStyle w:val="2"/>
      <w:lvlText w:val=""/>
      <w:lvlJc w:val="left"/>
      <w:pPr>
        <w:tabs>
          <w:tab w:val="num" w:pos="720"/>
        </w:tabs>
        <w:ind w:left="720" w:hanging="360"/>
      </w:pPr>
      <w:rPr>
        <w:rFonts w:ascii="Symbol" w:hAnsi="Symbol" w:hint="default"/>
      </w:rPr>
    </w:lvl>
    <w:lvl w:ilvl="1" w:tplc="A014CE08">
      <w:start w:val="1"/>
      <w:numFmt w:val="bullet"/>
      <w:lvlText w:val="o"/>
      <w:lvlJc w:val="left"/>
      <w:pPr>
        <w:ind w:left="1440" w:hanging="360"/>
      </w:pPr>
      <w:rPr>
        <w:rFonts w:ascii="Courier New" w:eastAsia="Courier New" w:hAnsi="Courier New" w:cs="Courier New" w:hint="default"/>
      </w:rPr>
    </w:lvl>
    <w:lvl w:ilvl="2" w:tplc="C7D00F72">
      <w:start w:val="1"/>
      <w:numFmt w:val="bullet"/>
      <w:lvlText w:val="§"/>
      <w:lvlJc w:val="left"/>
      <w:pPr>
        <w:ind w:left="2160" w:hanging="360"/>
      </w:pPr>
      <w:rPr>
        <w:rFonts w:ascii="Wingdings" w:eastAsia="Wingdings" w:hAnsi="Wingdings" w:cs="Wingdings" w:hint="default"/>
      </w:rPr>
    </w:lvl>
    <w:lvl w:ilvl="3" w:tplc="00A03B08">
      <w:start w:val="1"/>
      <w:numFmt w:val="bullet"/>
      <w:lvlText w:val="·"/>
      <w:lvlJc w:val="left"/>
      <w:pPr>
        <w:ind w:left="2880" w:hanging="360"/>
      </w:pPr>
      <w:rPr>
        <w:rFonts w:ascii="Symbol" w:eastAsia="Symbol" w:hAnsi="Symbol" w:cs="Symbol" w:hint="default"/>
      </w:rPr>
    </w:lvl>
    <w:lvl w:ilvl="4" w:tplc="2E1C615A">
      <w:start w:val="1"/>
      <w:numFmt w:val="bullet"/>
      <w:lvlText w:val="o"/>
      <w:lvlJc w:val="left"/>
      <w:pPr>
        <w:ind w:left="3600" w:hanging="360"/>
      </w:pPr>
      <w:rPr>
        <w:rFonts w:ascii="Courier New" w:eastAsia="Courier New" w:hAnsi="Courier New" w:cs="Courier New" w:hint="default"/>
      </w:rPr>
    </w:lvl>
    <w:lvl w:ilvl="5" w:tplc="304AF7C2">
      <w:start w:val="1"/>
      <w:numFmt w:val="bullet"/>
      <w:lvlText w:val="§"/>
      <w:lvlJc w:val="left"/>
      <w:pPr>
        <w:ind w:left="4320" w:hanging="360"/>
      </w:pPr>
      <w:rPr>
        <w:rFonts w:ascii="Wingdings" w:eastAsia="Wingdings" w:hAnsi="Wingdings" w:cs="Wingdings" w:hint="default"/>
      </w:rPr>
    </w:lvl>
    <w:lvl w:ilvl="6" w:tplc="8F86B4D4">
      <w:start w:val="1"/>
      <w:numFmt w:val="bullet"/>
      <w:lvlText w:val="·"/>
      <w:lvlJc w:val="left"/>
      <w:pPr>
        <w:ind w:left="5040" w:hanging="360"/>
      </w:pPr>
      <w:rPr>
        <w:rFonts w:ascii="Symbol" w:eastAsia="Symbol" w:hAnsi="Symbol" w:cs="Symbol" w:hint="default"/>
      </w:rPr>
    </w:lvl>
    <w:lvl w:ilvl="7" w:tplc="D674D98C">
      <w:start w:val="1"/>
      <w:numFmt w:val="bullet"/>
      <w:lvlText w:val="o"/>
      <w:lvlJc w:val="left"/>
      <w:pPr>
        <w:ind w:left="5760" w:hanging="360"/>
      </w:pPr>
      <w:rPr>
        <w:rFonts w:ascii="Courier New" w:eastAsia="Courier New" w:hAnsi="Courier New" w:cs="Courier New" w:hint="default"/>
      </w:rPr>
    </w:lvl>
    <w:lvl w:ilvl="8" w:tplc="627230A6">
      <w:start w:val="1"/>
      <w:numFmt w:val="bullet"/>
      <w:lvlText w:val="§"/>
      <w:lvlJc w:val="left"/>
      <w:pPr>
        <w:ind w:left="6480" w:hanging="360"/>
      </w:pPr>
      <w:rPr>
        <w:rFonts w:ascii="Wingdings" w:eastAsia="Wingdings" w:hAnsi="Wingdings" w:cs="Wingdings" w:hint="default"/>
      </w:rPr>
    </w:lvl>
  </w:abstractNum>
  <w:abstractNum w:abstractNumId="3" w15:restartNumberingAfterBreak="0">
    <w:nsid w:val="2D21043E"/>
    <w:multiLevelType w:val="hybridMultilevel"/>
    <w:tmpl w:val="BCE2A32C"/>
    <w:lvl w:ilvl="0" w:tplc="79649208">
      <w:start w:val="1"/>
      <w:numFmt w:val="decimal"/>
      <w:lvlText w:val="%1."/>
      <w:lvlJc w:val="left"/>
      <w:pPr>
        <w:tabs>
          <w:tab w:val="num" w:pos="1800"/>
        </w:tabs>
        <w:ind w:left="1800" w:hanging="360"/>
      </w:pPr>
    </w:lvl>
    <w:lvl w:ilvl="1" w:tplc="C548D8AC">
      <w:start w:val="1"/>
      <w:numFmt w:val="bullet"/>
      <w:lvlText w:val="o"/>
      <w:lvlJc w:val="left"/>
      <w:pPr>
        <w:ind w:left="1440" w:hanging="360"/>
      </w:pPr>
      <w:rPr>
        <w:rFonts w:ascii="Courier New" w:eastAsia="Courier New" w:hAnsi="Courier New" w:cs="Courier New" w:hint="default"/>
      </w:rPr>
    </w:lvl>
    <w:lvl w:ilvl="2" w:tplc="C51A278C">
      <w:start w:val="1"/>
      <w:numFmt w:val="bullet"/>
      <w:lvlText w:val="§"/>
      <w:lvlJc w:val="left"/>
      <w:pPr>
        <w:ind w:left="2160" w:hanging="360"/>
      </w:pPr>
      <w:rPr>
        <w:rFonts w:ascii="Wingdings" w:eastAsia="Wingdings" w:hAnsi="Wingdings" w:cs="Wingdings" w:hint="default"/>
      </w:rPr>
    </w:lvl>
    <w:lvl w:ilvl="3" w:tplc="A7C85380">
      <w:start w:val="1"/>
      <w:numFmt w:val="bullet"/>
      <w:lvlText w:val="·"/>
      <w:lvlJc w:val="left"/>
      <w:pPr>
        <w:ind w:left="2880" w:hanging="360"/>
      </w:pPr>
      <w:rPr>
        <w:rFonts w:ascii="Symbol" w:eastAsia="Symbol" w:hAnsi="Symbol" w:cs="Symbol" w:hint="default"/>
      </w:rPr>
    </w:lvl>
    <w:lvl w:ilvl="4" w:tplc="AF3E6A02">
      <w:start w:val="1"/>
      <w:numFmt w:val="bullet"/>
      <w:lvlText w:val="o"/>
      <w:lvlJc w:val="left"/>
      <w:pPr>
        <w:ind w:left="3600" w:hanging="360"/>
      </w:pPr>
      <w:rPr>
        <w:rFonts w:ascii="Courier New" w:eastAsia="Courier New" w:hAnsi="Courier New" w:cs="Courier New" w:hint="default"/>
      </w:rPr>
    </w:lvl>
    <w:lvl w:ilvl="5" w:tplc="4280B674">
      <w:start w:val="1"/>
      <w:numFmt w:val="bullet"/>
      <w:lvlText w:val="§"/>
      <w:lvlJc w:val="left"/>
      <w:pPr>
        <w:ind w:left="4320" w:hanging="360"/>
      </w:pPr>
      <w:rPr>
        <w:rFonts w:ascii="Wingdings" w:eastAsia="Wingdings" w:hAnsi="Wingdings" w:cs="Wingdings" w:hint="default"/>
      </w:rPr>
    </w:lvl>
    <w:lvl w:ilvl="6" w:tplc="29AAA420">
      <w:start w:val="1"/>
      <w:numFmt w:val="bullet"/>
      <w:lvlText w:val="·"/>
      <w:lvlJc w:val="left"/>
      <w:pPr>
        <w:ind w:left="5040" w:hanging="360"/>
      </w:pPr>
      <w:rPr>
        <w:rFonts w:ascii="Symbol" w:eastAsia="Symbol" w:hAnsi="Symbol" w:cs="Symbol" w:hint="default"/>
      </w:rPr>
    </w:lvl>
    <w:lvl w:ilvl="7" w:tplc="E57AFA22">
      <w:start w:val="1"/>
      <w:numFmt w:val="bullet"/>
      <w:lvlText w:val="o"/>
      <w:lvlJc w:val="left"/>
      <w:pPr>
        <w:ind w:left="5760" w:hanging="360"/>
      </w:pPr>
      <w:rPr>
        <w:rFonts w:ascii="Courier New" w:eastAsia="Courier New" w:hAnsi="Courier New" w:cs="Courier New" w:hint="default"/>
      </w:rPr>
    </w:lvl>
    <w:lvl w:ilvl="8" w:tplc="87C88DCC">
      <w:start w:val="1"/>
      <w:numFmt w:val="bullet"/>
      <w:lvlText w:val="§"/>
      <w:lvlJc w:val="left"/>
      <w:pPr>
        <w:ind w:left="6480" w:hanging="360"/>
      </w:pPr>
      <w:rPr>
        <w:rFonts w:ascii="Wingdings" w:eastAsia="Wingdings" w:hAnsi="Wingdings" w:cs="Wingdings" w:hint="default"/>
      </w:rPr>
    </w:lvl>
  </w:abstractNum>
  <w:abstractNum w:abstractNumId="4" w15:restartNumberingAfterBreak="0">
    <w:nsid w:val="2FE7764B"/>
    <w:multiLevelType w:val="hybridMultilevel"/>
    <w:tmpl w:val="D200C6DC"/>
    <w:lvl w:ilvl="0" w:tplc="66F674E4">
      <w:start w:val="1"/>
      <w:numFmt w:val="decimal"/>
      <w:pStyle w:val="a"/>
      <w:lvlText w:val="%1."/>
      <w:lvlJc w:val="left"/>
      <w:pPr>
        <w:tabs>
          <w:tab w:val="num" w:pos="360"/>
        </w:tabs>
        <w:ind w:left="360" w:hanging="360"/>
      </w:pPr>
    </w:lvl>
    <w:lvl w:ilvl="1" w:tplc="DA64EB9E">
      <w:start w:val="1"/>
      <w:numFmt w:val="bullet"/>
      <w:lvlText w:val="o"/>
      <w:lvlJc w:val="left"/>
      <w:pPr>
        <w:ind w:left="1440" w:hanging="360"/>
      </w:pPr>
      <w:rPr>
        <w:rFonts w:ascii="Courier New" w:eastAsia="Courier New" w:hAnsi="Courier New" w:cs="Courier New" w:hint="default"/>
      </w:rPr>
    </w:lvl>
    <w:lvl w:ilvl="2" w:tplc="CB5AB7BA">
      <w:start w:val="1"/>
      <w:numFmt w:val="bullet"/>
      <w:lvlText w:val="§"/>
      <w:lvlJc w:val="left"/>
      <w:pPr>
        <w:ind w:left="2160" w:hanging="360"/>
      </w:pPr>
      <w:rPr>
        <w:rFonts w:ascii="Wingdings" w:eastAsia="Wingdings" w:hAnsi="Wingdings" w:cs="Wingdings" w:hint="default"/>
      </w:rPr>
    </w:lvl>
    <w:lvl w:ilvl="3" w:tplc="F2DEB2FA">
      <w:start w:val="1"/>
      <w:numFmt w:val="bullet"/>
      <w:lvlText w:val="·"/>
      <w:lvlJc w:val="left"/>
      <w:pPr>
        <w:ind w:left="2880" w:hanging="360"/>
      </w:pPr>
      <w:rPr>
        <w:rFonts w:ascii="Symbol" w:eastAsia="Symbol" w:hAnsi="Symbol" w:cs="Symbol" w:hint="default"/>
      </w:rPr>
    </w:lvl>
    <w:lvl w:ilvl="4" w:tplc="C59C9976">
      <w:start w:val="1"/>
      <w:numFmt w:val="bullet"/>
      <w:lvlText w:val="o"/>
      <w:lvlJc w:val="left"/>
      <w:pPr>
        <w:ind w:left="3600" w:hanging="360"/>
      </w:pPr>
      <w:rPr>
        <w:rFonts w:ascii="Courier New" w:eastAsia="Courier New" w:hAnsi="Courier New" w:cs="Courier New" w:hint="default"/>
      </w:rPr>
    </w:lvl>
    <w:lvl w:ilvl="5" w:tplc="E5A6B166">
      <w:start w:val="1"/>
      <w:numFmt w:val="bullet"/>
      <w:lvlText w:val="§"/>
      <w:lvlJc w:val="left"/>
      <w:pPr>
        <w:ind w:left="4320" w:hanging="360"/>
      </w:pPr>
      <w:rPr>
        <w:rFonts w:ascii="Wingdings" w:eastAsia="Wingdings" w:hAnsi="Wingdings" w:cs="Wingdings" w:hint="default"/>
      </w:rPr>
    </w:lvl>
    <w:lvl w:ilvl="6" w:tplc="0C38073C">
      <w:start w:val="1"/>
      <w:numFmt w:val="bullet"/>
      <w:lvlText w:val="·"/>
      <w:lvlJc w:val="left"/>
      <w:pPr>
        <w:ind w:left="5040" w:hanging="360"/>
      </w:pPr>
      <w:rPr>
        <w:rFonts w:ascii="Symbol" w:eastAsia="Symbol" w:hAnsi="Symbol" w:cs="Symbol" w:hint="default"/>
      </w:rPr>
    </w:lvl>
    <w:lvl w:ilvl="7" w:tplc="EAE4DC76">
      <w:start w:val="1"/>
      <w:numFmt w:val="bullet"/>
      <w:lvlText w:val="o"/>
      <w:lvlJc w:val="left"/>
      <w:pPr>
        <w:ind w:left="5760" w:hanging="360"/>
      </w:pPr>
      <w:rPr>
        <w:rFonts w:ascii="Courier New" w:eastAsia="Courier New" w:hAnsi="Courier New" w:cs="Courier New" w:hint="default"/>
      </w:rPr>
    </w:lvl>
    <w:lvl w:ilvl="8" w:tplc="217635E4">
      <w:start w:val="1"/>
      <w:numFmt w:val="bullet"/>
      <w:lvlText w:val="§"/>
      <w:lvlJc w:val="left"/>
      <w:pPr>
        <w:ind w:left="6480" w:hanging="360"/>
      </w:pPr>
      <w:rPr>
        <w:rFonts w:ascii="Wingdings" w:eastAsia="Wingdings" w:hAnsi="Wingdings" w:cs="Wingdings" w:hint="default"/>
      </w:rPr>
    </w:lvl>
  </w:abstractNum>
  <w:abstractNum w:abstractNumId="5" w15:restartNumberingAfterBreak="0">
    <w:nsid w:val="49CA1F4A"/>
    <w:multiLevelType w:val="hybridMultilevel"/>
    <w:tmpl w:val="2FA8ABEC"/>
    <w:lvl w:ilvl="0" w:tplc="2C8EA1BA">
      <w:start w:val="1"/>
      <w:numFmt w:val="bullet"/>
      <w:lvlText w:val=""/>
      <w:lvlJc w:val="left"/>
      <w:pPr>
        <w:tabs>
          <w:tab w:val="num" w:pos="1440"/>
        </w:tabs>
        <w:ind w:left="1440" w:hanging="360"/>
      </w:pPr>
      <w:rPr>
        <w:rFonts w:ascii="Symbol" w:hAnsi="Symbol" w:hint="default"/>
      </w:rPr>
    </w:lvl>
    <w:lvl w:ilvl="1" w:tplc="DBF011BA">
      <w:start w:val="1"/>
      <w:numFmt w:val="bullet"/>
      <w:lvlText w:val="o"/>
      <w:lvlJc w:val="left"/>
      <w:pPr>
        <w:ind w:left="1440" w:hanging="360"/>
      </w:pPr>
      <w:rPr>
        <w:rFonts w:ascii="Courier New" w:eastAsia="Courier New" w:hAnsi="Courier New" w:cs="Courier New" w:hint="default"/>
      </w:rPr>
    </w:lvl>
    <w:lvl w:ilvl="2" w:tplc="5A3410EA">
      <w:start w:val="1"/>
      <w:numFmt w:val="bullet"/>
      <w:lvlText w:val="§"/>
      <w:lvlJc w:val="left"/>
      <w:pPr>
        <w:ind w:left="2160" w:hanging="360"/>
      </w:pPr>
      <w:rPr>
        <w:rFonts w:ascii="Wingdings" w:eastAsia="Wingdings" w:hAnsi="Wingdings" w:cs="Wingdings" w:hint="default"/>
      </w:rPr>
    </w:lvl>
    <w:lvl w:ilvl="3" w:tplc="2E4A1A0E">
      <w:start w:val="1"/>
      <w:numFmt w:val="bullet"/>
      <w:lvlText w:val="·"/>
      <w:lvlJc w:val="left"/>
      <w:pPr>
        <w:ind w:left="2880" w:hanging="360"/>
      </w:pPr>
      <w:rPr>
        <w:rFonts w:ascii="Symbol" w:eastAsia="Symbol" w:hAnsi="Symbol" w:cs="Symbol" w:hint="default"/>
      </w:rPr>
    </w:lvl>
    <w:lvl w:ilvl="4" w:tplc="D968F3A4">
      <w:start w:val="1"/>
      <w:numFmt w:val="bullet"/>
      <w:lvlText w:val="o"/>
      <w:lvlJc w:val="left"/>
      <w:pPr>
        <w:ind w:left="3600" w:hanging="360"/>
      </w:pPr>
      <w:rPr>
        <w:rFonts w:ascii="Courier New" w:eastAsia="Courier New" w:hAnsi="Courier New" w:cs="Courier New" w:hint="default"/>
      </w:rPr>
    </w:lvl>
    <w:lvl w:ilvl="5" w:tplc="6A1AD7BA">
      <w:start w:val="1"/>
      <w:numFmt w:val="bullet"/>
      <w:lvlText w:val="§"/>
      <w:lvlJc w:val="left"/>
      <w:pPr>
        <w:ind w:left="4320" w:hanging="360"/>
      </w:pPr>
      <w:rPr>
        <w:rFonts w:ascii="Wingdings" w:eastAsia="Wingdings" w:hAnsi="Wingdings" w:cs="Wingdings" w:hint="default"/>
      </w:rPr>
    </w:lvl>
    <w:lvl w:ilvl="6" w:tplc="8222EBA8">
      <w:start w:val="1"/>
      <w:numFmt w:val="bullet"/>
      <w:lvlText w:val="·"/>
      <w:lvlJc w:val="left"/>
      <w:pPr>
        <w:ind w:left="5040" w:hanging="360"/>
      </w:pPr>
      <w:rPr>
        <w:rFonts w:ascii="Symbol" w:eastAsia="Symbol" w:hAnsi="Symbol" w:cs="Symbol" w:hint="default"/>
      </w:rPr>
    </w:lvl>
    <w:lvl w:ilvl="7" w:tplc="12F6CBF4">
      <w:start w:val="1"/>
      <w:numFmt w:val="bullet"/>
      <w:lvlText w:val="o"/>
      <w:lvlJc w:val="left"/>
      <w:pPr>
        <w:ind w:left="5760" w:hanging="360"/>
      </w:pPr>
      <w:rPr>
        <w:rFonts w:ascii="Courier New" w:eastAsia="Courier New" w:hAnsi="Courier New" w:cs="Courier New" w:hint="default"/>
      </w:rPr>
    </w:lvl>
    <w:lvl w:ilvl="8" w:tplc="FC46A148">
      <w:start w:val="1"/>
      <w:numFmt w:val="bullet"/>
      <w:lvlText w:val="§"/>
      <w:lvlJc w:val="left"/>
      <w:pPr>
        <w:ind w:left="6480" w:hanging="360"/>
      </w:pPr>
      <w:rPr>
        <w:rFonts w:ascii="Wingdings" w:eastAsia="Wingdings" w:hAnsi="Wingdings" w:cs="Wingdings" w:hint="default"/>
      </w:rPr>
    </w:lvl>
  </w:abstractNum>
  <w:abstractNum w:abstractNumId="6" w15:restartNumberingAfterBreak="0">
    <w:nsid w:val="53790EDF"/>
    <w:multiLevelType w:val="hybridMultilevel"/>
    <w:tmpl w:val="88E06EBE"/>
    <w:lvl w:ilvl="0" w:tplc="E2A68FD0">
      <w:start w:val="1"/>
      <w:numFmt w:val="bullet"/>
      <w:pStyle w:val="a0"/>
      <w:lvlText w:val=""/>
      <w:lvlJc w:val="left"/>
      <w:pPr>
        <w:tabs>
          <w:tab w:val="num" w:pos="360"/>
        </w:tabs>
        <w:ind w:left="360" w:hanging="360"/>
      </w:pPr>
      <w:rPr>
        <w:rFonts w:ascii="Symbol" w:hAnsi="Symbol" w:hint="default"/>
      </w:rPr>
    </w:lvl>
    <w:lvl w:ilvl="1" w:tplc="C8002DC4">
      <w:start w:val="1"/>
      <w:numFmt w:val="bullet"/>
      <w:lvlText w:val="o"/>
      <w:lvlJc w:val="left"/>
      <w:pPr>
        <w:ind w:left="1440" w:hanging="360"/>
      </w:pPr>
      <w:rPr>
        <w:rFonts w:ascii="Courier New" w:eastAsia="Courier New" w:hAnsi="Courier New" w:cs="Courier New" w:hint="default"/>
      </w:rPr>
    </w:lvl>
    <w:lvl w:ilvl="2" w:tplc="3754F73E">
      <w:start w:val="1"/>
      <w:numFmt w:val="bullet"/>
      <w:lvlText w:val="§"/>
      <w:lvlJc w:val="left"/>
      <w:pPr>
        <w:ind w:left="2160" w:hanging="360"/>
      </w:pPr>
      <w:rPr>
        <w:rFonts w:ascii="Wingdings" w:eastAsia="Wingdings" w:hAnsi="Wingdings" w:cs="Wingdings" w:hint="default"/>
      </w:rPr>
    </w:lvl>
    <w:lvl w:ilvl="3" w:tplc="A80A015C">
      <w:start w:val="1"/>
      <w:numFmt w:val="bullet"/>
      <w:lvlText w:val="·"/>
      <w:lvlJc w:val="left"/>
      <w:pPr>
        <w:ind w:left="2880" w:hanging="360"/>
      </w:pPr>
      <w:rPr>
        <w:rFonts w:ascii="Symbol" w:eastAsia="Symbol" w:hAnsi="Symbol" w:cs="Symbol" w:hint="default"/>
      </w:rPr>
    </w:lvl>
    <w:lvl w:ilvl="4" w:tplc="A5C60C88">
      <w:start w:val="1"/>
      <w:numFmt w:val="bullet"/>
      <w:lvlText w:val="o"/>
      <w:lvlJc w:val="left"/>
      <w:pPr>
        <w:ind w:left="3600" w:hanging="360"/>
      </w:pPr>
      <w:rPr>
        <w:rFonts w:ascii="Courier New" w:eastAsia="Courier New" w:hAnsi="Courier New" w:cs="Courier New" w:hint="default"/>
      </w:rPr>
    </w:lvl>
    <w:lvl w:ilvl="5" w:tplc="412A3812">
      <w:start w:val="1"/>
      <w:numFmt w:val="bullet"/>
      <w:lvlText w:val="§"/>
      <w:lvlJc w:val="left"/>
      <w:pPr>
        <w:ind w:left="4320" w:hanging="360"/>
      </w:pPr>
      <w:rPr>
        <w:rFonts w:ascii="Wingdings" w:eastAsia="Wingdings" w:hAnsi="Wingdings" w:cs="Wingdings" w:hint="default"/>
      </w:rPr>
    </w:lvl>
    <w:lvl w:ilvl="6" w:tplc="84FE700C">
      <w:start w:val="1"/>
      <w:numFmt w:val="bullet"/>
      <w:lvlText w:val="·"/>
      <w:lvlJc w:val="left"/>
      <w:pPr>
        <w:ind w:left="5040" w:hanging="360"/>
      </w:pPr>
      <w:rPr>
        <w:rFonts w:ascii="Symbol" w:eastAsia="Symbol" w:hAnsi="Symbol" w:cs="Symbol" w:hint="default"/>
      </w:rPr>
    </w:lvl>
    <w:lvl w:ilvl="7" w:tplc="E60AB604">
      <w:start w:val="1"/>
      <w:numFmt w:val="bullet"/>
      <w:lvlText w:val="o"/>
      <w:lvlJc w:val="left"/>
      <w:pPr>
        <w:ind w:left="5760" w:hanging="360"/>
      </w:pPr>
      <w:rPr>
        <w:rFonts w:ascii="Courier New" w:eastAsia="Courier New" w:hAnsi="Courier New" w:cs="Courier New" w:hint="default"/>
      </w:rPr>
    </w:lvl>
    <w:lvl w:ilvl="8" w:tplc="28B2A7FA">
      <w:start w:val="1"/>
      <w:numFmt w:val="bullet"/>
      <w:lvlText w:val="§"/>
      <w:lvlJc w:val="left"/>
      <w:pPr>
        <w:ind w:left="6480" w:hanging="360"/>
      </w:pPr>
      <w:rPr>
        <w:rFonts w:ascii="Wingdings" w:eastAsia="Wingdings" w:hAnsi="Wingdings" w:cs="Wingdings" w:hint="default"/>
      </w:rPr>
    </w:lvl>
  </w:abstractNum>
  <w:abstractNum w:abstractNumId="7" w15:restartNumberingAfterBreak="0">
    <w:nsid w:val="6844346D"/>
    <w:multiLevelType w:val="hybridMultilevel"/>
    <w:tmpl w:val="EBF829B0"/>
    <w:lvl w:ilvl="0" w:tplc="B098694E">
      <w:start w:val="1"/>
      <w:numFmt w:val="decimal"/>
      <w:pStyle w:val="30"/>
      <w:lvlText w:val="%1."/>
      <w:lvlJc w:val="left"/>
      <w:pPr>
        <w:tabs>
          <w:tab w:val="num" w:pos="1080"/>
        </w:tabs>
        <w:ind w:left="1080" w:hanging="360"/>
      </w:pPr>
    </w:lvl>
    <w:lvl w:ilvl="1" w:tplc="4EA0CDA0">
      <w:start w:val="1"/>
      <w:numFmt w:val="bullet"/>
      <w:lvlText w:val="o"/>
      <w:lvlJc w:val="left"/>
      <w:pPr>
        <w:ind w:left="1440" w:hanging="360"/>
      </w:pPr>
      <w:rPr>
        <w:rFonts w:ascii="Courier New" w:eastAsia="Courier New" w:hAnsi="Courier New" w:cs="Courier New" w:hint="default"/>
      </w:rPr>
    </w:lvl>
    <w:lvl w:ilvl="2" w:tplc="F1DE664E">
      <w:start w:val="1"/>
      <w:numFmt w:val="bullet"/>
      <w:lvlText w:val="§"/>
      <w:lvlJc w:val="left"/>
      <w:pPr>
        <w:ind w:left="2160" w:hanging="360"/>
      </w:pPr>
      <w:rPr>
        <w:rFonts w:ascii="Wingdings" w:eastAsia="Wingdings" w:hAnsi="Wingdings" w:cs="Wingdings" w:hint="default"/>
      </w:rPr>
    </w:lvl>
    <w:lvl w:ilvl="3" w:tplc="15863A34">
      <w:start w:val="1"/>
      <w:numFmt w:val="bullet"/>
      <w:lvlText w:val="·"/>
      <w:lvlJc w:val="left"/>
      <w:pPr>
        <w:ind w:left="2880" w:hanging="360"/>
      </w:pPr>
      <w:rPr>
        <w:rFonts w:ascii="Symbol" w:eastAsia="Symbol" w:hAnsi="Symbol" w:cs="Symbol" w:hint="default"/>
      </w:rPr>
    </w:lvl>
    <w:lvl w:ilvl="4" w:tplc="26D4DC56">
      <w:start w:val="1"/>
      <w:numFmt w:val="bullet"/>
      <w:lvlText w:val="o"/>
      <w:lvlJc w:val="left"/>
      <w:pPr>
        <w:ind w:left="3600" w:hanging="360"/>
      </w:pPr>
      <w:rPr>
        <w:rFonts w:ascii="Courier New" w:eastAsia="Courier New" w:hAnsi="Courier New" w:cs="Courier New" w:hint="default"/>
      </w:rPr>
    </w:lvl>
    <w:lvl w:ilvl="5" w:tplc="8242B262">
      <w:start w:val="1"/>
      <w:numFmt w:val="bullet"/>
      <w:lvlText w:val="§"/>
      <w:lvlJc w:val="left"/>
      <w:pPr>
        <w:ind w:left="4320" w:hanging="360"/>
      </w:pPr>
      <w:rPr>
        <w:rFonts w:ascii="Wingdings" w:eastAsia="Wingdings" w:hAnsi="Wingdings" w:cs="Wingdings" w:hint="default"/>
      </w:rPr>
    </w:lvl>
    <w:lvl w:ilvl="6" w:tplc="E0720FC8">
      <w:start w:val="1"/>
      <w:numFmt w:val="bullet"/>
      <w:lvlText w:val="·"/>
      <w:lvlJc w:val="left"/>
      <w:pPr>
        <w:ind w:left="5040" w:hanging="360"/>
      </w:pPr>
      <w:rPr>
        <w:rFonts w:ascii="Symbol" w:eastAsia="Symbol" w:hAnsi="Symbol" w:cs="Symbol" w:hint="default"/>
      </w:rPr>
    </w:lvl>
    <w:lvl w:ilvl="7" w:tplc="E0B6510E">
      <w:start w:val="1"/>
      <w:numFmt w:val="bullet"/>
      <w:lvlText w:val="o"/>
      <w:lvlJc w:val="left"/>
      <w:pPr>
        <w:ind w:left="5760" w:hanging="360"/>
      </w:pPr>
      <w:rPr>
        <w:rFonts w:ascii="Courier New" w:eastAsia="Courier New" w:hAnsi="Courier New" w:cs="Courier New" w:hint="default"/>
      </w:rPr>
    </w:lvl>
    <w:lvl w:ilvl="8" w:tplc="15826318">
      <w:start w:val="1"/>
      <w:numFmt w:val="bullet"/>
      <w:lvlText w:val="§"/>
      <w:lvlJc w:val="left"/>
      <w:pPr>
        <w:ind w:left="6480" w:hanging="360"/>
      </w:pPr>
      <w:rPr>
        <w:rFonts w:ascii="Wingdings" w:eastAsia="Wingdings" w:hAnsi="Wingdings" w:cs="Wingdings" w:hint="default"/>
      </w:rPr>
    </w:lvl>
  </w:abstractNum>
  <w:abstractNum w:abstractNumId="8" w15:restartNumberingAfterBreak="0">
    <w:nsid w:val="6F335388"/>
    <w:multiLevelType w:val="hybridMultilevel"/>
    <w:tmpl w:val="7A8A74E0"/>
    <w:lvl w:ilvl="0" w:tplc="17B6210A">
      <w:start w:val="1"/>
      <w:numFmt w:val="decimal"/>
      <w:pStyle w:val="20"/>
      <w:lvlText w:val="%1."/>
      <w:lvlJc w:val="left"/>
      <w:pPr>
        <w:tabs>
          <w:tab w:val="num" w:pos="720"/>
        </w:tabs>
        <w:ind w:left="720" w:hanging="360"/>
      </w:pPr>
    </w:lvl>
    <w:lvl w:ilvl="1" w:tplc="F5380022">
      <w:start w:val="1"/>
      <w:numFmt w:val="bullet"/>
      <w:lvlText w:val="o"/>
      <w:lvlJc w:val="left"/>
      <w:pPr>
        <w:ind w:left="1440" w:hanging="360"/>
      </w:pPr>
      <w:rPr>
        <w:rFonts w:ascii="Courier New" w:eastAsia="Courier New" w:hAnsi="Courier New" w:cs="Courier New" w:hint="default"/>
      </w:rPr>
    </w:lvl>
    <w:lvl w:ilvl="2" w:tplc="6B6CA10A">
      <w:start w:val="1"/>
      <w:numFmt w:val="bullet"/>
      <w:lvlText w:val="§"/>
      <w:lvlJc w:val="left"/>
      <w:pPr>
        <w:ind w:left="2160" w:hanging="360"/>
      </w:pPr>
      <w:rPr>
        <w:rFonts w:ascii="Wingdings" w:eastAsia="Wingdings" w:hAnsi="Wingdings" w:cs="Wingdings" w:hint="default"/>
      </w:rPr>
    </w:lvl>
    <w:lvl w:ilvl="3" w:tplc="A8A0834E">
      <w:start w:val="1"/>
      <w:numFmt w:val="bullet"/>
      <w:lvlText w:val="·"/>
      <w:lvlJc w:val="left"/>
      <w:pPr>
        <w:ind w:left="2880" w:hanging="360"/>
      </w:pPr>
      <w:rPr>
        <w:rFonts w:ascii="Symbol" w:eastAsia="Symbol" w:hAnsi="Symbol" w:cs="Symbol" w:hint="default"/>
      </w:rPr>
    </w:lvl>
    <w:lvl w:ilvl="4" w:tplc="AFA60CA0">
      <w:start w:val="1"/>
      <w:numFmt w:val="bullet"/>
      <w:lvlText w:val="o"/>
      <w:lvlJc w:val="left"/>
      <w:pPr>
        <w:ind w:left="3600" w:hanging="360"/>
      </w:pPr>
      <w:rPr>
        <w:rFonts w:ascii="Courier New" w:eastAsia="Courier New" w:hAnsi="Courier New" w:cs="Courier New" w:hint="default"/>
      </w:rPr>
    </w:lvl>
    <w:lvl w:ilvl="5" w:tplc="986AC94A">
      <w:start w:val="1"/>
      <w:numFmt w:val="bullet"/>
      <w:lvlText w:val="§"/>
      <w:lvlJc w:val="left"/>
      <w:pPr>
        <w:ind w:left="4320" w:hanging="360"/>
      </w:pPr>
      <w:rPr>
        <w:rFonts w:ascii="Wingdings" w:eastAsia="Wingdings" w:hAnsi="Wingdings" w:cs="Wingdings" w:hint="default"/>
      </w:rPr>
    </w:lvl>
    <w:lvl w:ilvl="6" w:tplc="92D69176">
      <w:start w:val="1"/>
      <w:numFmt w:val="bullet"/>
      <w:lvlText w:val="·"/>
      <w:lvlJc w:val="left"/>
      <w:pPr>
        <w:ind w:left="5040" w:hanging="360"/>
      </w:pPr>
      <w:rPr>
        <w:rFonts w:ascii="Symbol" w:eastAsia="Symbol" w:hAnsi="Symbol" w:cs="Symbol" w:hint="default"/>
      </w:rPr>
    </w:lvl>
    <w:lvl w:ilvl="7" w:tplc="DA6E36C0">
      <w:start w:val="1"/>
      <w:numFmt w:val="bullet"/>
      <w:lvlText w:val="o"/>
      <w:lvlJc w:val="left"/>
      <w:pPr>
        <w:ind w:left="5760" w:hanging="360"/>
      </w:pPr>
      <w:rPr>
        <w:rFonts w:ascii="Courier New" w:eastAsia="Courier New" w:hAnsi="Courier New" w:cs="Courier New" w:hint="default"/>
      </w:rPr>
    </w:lvl>
    <w:lvl w:ilvl="8" w:tplc="F1C6D4C2">
      <w:start w:val="1"/>
      <w:numFmt w:val="bullet"/>
      <w:lvlText w:val="§"/>
      <w:lvlJc w:val="left"/>
      <w:pPr>
        <w:ind w:left="6480" w:hanging="360"/>
      </w:pPr>
      <w:rPr>
        <w:rFonts w:ascii="Wingdings" w:eastAsia="Wingdings" w:hAnsi="Wingdings" w:cs="Wingdings" w:hint="default"/>
      </w:rPr>
    </w:lvl>
  </w:abstractNum>
  <w:num w:numId="1" w16cid:durableId="181432661">
    <w:abstractNumId w:val="6"/>
  </w:num>
  <w:num w:numId="2" w16cid:durableId="125701088">
    <w:abstractNumId w:val="2"/>
  </w:num>
  <w:num w:numId="3" w16cid:durableId="189687295">
    <w:abstractNumId w:val="1"/>
  </w:num>
  <w:num w:numId="4" w16cid:durableId="1757360652">
    <w:abstractNumId w:val="5"/>
  </w:num>
  <w:num w:numId="5" w16cid:durableId="1753232554">
    <w:abstractNumId w:val="4"/>
  </w:num>
  <w:num w:numId="6" w16cid:durableId="56977375">
    <w:abstractNumId w:val="8"/>
  </w:num>
  <w:num w:numId="7" w16cid:durableId="1016495752">
    <w:abstractNumId w:val="7"/>
  </w:num>
  <w:num w:numId="8" w16cid:durableId="299383395">
    <w:abstractNumId w:val="0"/>
  </w:num>
  <w:num w:numId="9" w16cid:durableId="3523907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281"/>
    <w:rsid w:val="00102FF5"/>
    <w:rsid w:val="00122C03"/>
    <w:rsid w:val="00634E32"/>
    <w:rsid w:val="00686281"/>
    <w:rsid w:val="0070650C"/>
    <w:rsid w:val="00724EC7"/>
    <w:rsid w:val="008137F6"/>
    <w:rsid w:val="00982086"/>
    <w:rsid w:val="00A547EB"/>
    <w:rsid w:val="00A71C2F"/>
    <w:rsid w:val="00C80739"/>
    <w:rsid w:val="00E63A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FB13D9"/>
  <w15:docId w15:val="{74B726CA-F527-4984-A6A6-23CBF977E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spacing w:after="120"/>
    </w:pPr>
    <w:rPr>
      <w:rFonts w:ascii="Times New Roman" w:eastAsia="Times New Roman" w:hAnsi="Times New Roman" w:cs="Times New Roman"/>
    </w:rPr>
  </w:style>
  <w:style w:type="paragraph" w:styleId="1">
    <w:name w:val="heading 1"/>
    <w:basedOn w:val="a1"/>
    <w:next w:val="a1"/>
    <w:link w:val="10"/>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Heading1Char">
    <w:name w:val="Heading 1 Char"/>
    <w:basedOn w:val="a2"/>
    <w:uiPriority w:val="9"/>
    <w:rPr>
      <w:rFonts w:ascii="Liberation Sans" w:eastAsia="Liberation Sans" w:hAnsi="Liberation Sans" w:cs="Liberation Sans"/>
      <w:sz w:val="40"/>
      <w:szCs w:val="40"/>
    </w:rPr>
  </w:style>
  <w:style w:type="character" w:customStyle="1" w:styleId="Heading2Char">
    <w:name w:val="Heading 2 Char"/>
    <w:basedOn w:val="a2"/>
    <w:uiPriority w:val="9"/>
    <w:rPr>
      <w:rFonts w:ascii="Liberation Sans" w:eastAsia="Liberation Sans" w:hAnsi="Liberation Sans" w:cs="Liberation Sans"/>
      <w:sz w:val="34"/>
    </w:rPr>
  </w:style>
  <w:style w:type="character" w:customStyle="1" w:styleId="Heading3Char">
    <w:name w:val="Heading 3 Char"/>
    <w:basedOn w:val="a2"/>
    <w:uiPriority w:val="9"/>
    <w:rPr>
      <w:rFonts w:ascii="Liberation Sans" w:eastAsia="Liberation Sans" w:hAnsi="Liberation Sans" w:cs="Liberation Sans"/>
      <w:sz w:val="30"/>
      <w:szCs w:val="30"/>
    </w:rPr>
  </w:style>
  <w:style w:type="character" w:customStyle="1" w:styleId="Heading4Char">
    <w:name w:val="Heading 4 Char"/>
    <w:basedOn w:val="a2"/>
    <w:uiPriority w:val="9"/>
    <w:rPr>
      <w:rFonts w:ascii="Liberation Sans" w:eastAsia="Liberation Sans" w:hAnsi="Liberation Sans" w:cs="Liberation Sans"/>
      <w:b/>
      <w:bCs/>
      <w:sz w:val="26"/>
      <w:szCs w:val="26"/>
    </w:rPr>
  </w:style>
  <w:style w:type="character" w:customStyle="1" w:styleId="Heading5Char">
    <w:name w:val="Heading 5 Char"/>
    <w:basedOn w:val="a2"/>
    <w:uiPriority w:val="9"/>
    <w:rPr>
      <w:rFonts w:ascii="Liberation Sans" w:eastAsia="Liberation Sans" w:hAnsi="Liberation Sans" w:cs="Liberation Sans"/>
      <w:b/>
      <w:bCs/>
      <w:sz w:val="24"/>
      <w:szCs w:val="24"/>
    </w:rPr>
  </w:style>
  <w:style w:type="character" w:customStyle="1" w:styleId="Heading6Char">
    <w:name w:val="Heading 6 Char"/>
    <w:basedOn w:val="a2"/>
    <w:uiPriority w:val="9"/>
    <w:rPr>
      <w:rFonts w:ascii="Liberation Sans" w:eastAsia="Liberation Sans" w:hAnsi="Liberation Sans" w:cs="Liberation Sans"/>
      <w:b/>
      <w:bCs/>
      <w:sz w:val="22"/>
      <w:szCs w:val="22"/>
    </w:rPr>
  </w:style>
  <w:style w:type="character" w:customStyle="1" w:styleId="Heading7Char">
    <w:name w:val="Heading 7 Char"/>
    <w:basedOn w:val="a2"/>
    <w:uiPriority w:val="9"/>
    <w:rPr>
      <w:rFonts w:ascii="Liberation Sans" w:eastAsia="Liberation Sans" w:hAnsi="Liberation Sans" w:cs="Liberation Sans"/>
      <w:b/>
      <w:bCs/>
      <w:i/>
      <w:iCs/>
      <w:sz w:val="22"/>
      <w:szCs w:val="22"/>
    </w:rPr>
  </w:style>
  <w:style w:type="character" w:customStyle="1" w:styleId="Heading8Char">
    <w:name w:val="Heading 8 Char"/>
    <w:basedOn w:val="a2"/>
    <w:uiPriority w:val="9"/>
    <w:rPr>
      <w:rFonts w:ascii="Liberation Sans" w:eastAsia="Liberation Sans" w:hAnsi="Liberation Sans" w:cs="Liberation Sans"/>
      <w:i/>
      <w:iCs/>
      <w:sz w:val="22"/>
      <w:szCs w:val="22"/>
    </w:rPr>
  </w:style>
  <w:style w:type="character" w:customStyle="1" w:styleId="Heading9Char">
    <w:name w:val="Heading 9 Char"/>
    <w:basedOn w:val="a2"/>
    <w:uiPriority w:val="9"/>
    <w:rPr>
      <w:rFonts w:ascii="Liberation Sans" w:eastAsia="Liberation Sans" w:hAnsi="Liberation Sans" w:cs="Liberation Sans"/>
      <w:i/>
      <w:iCs/>
      <w:sz w:val="21"/>
      <w:szCs w:val="21"/>
    </w:rPr>
  </w:style>
  <w:style w:type="character" w:customStyle="1" w:styleId="TitleChar">
    <w:name w:val="Title Char"/>
    <w:basedOn w:val="a2"/>
    <w:uiPriority w:val="10"/>
    <w:rPr>
      <w:sz w:val="48"/>
      <w:szCs w:val="48"/>
    </w:rPr>
  </w:style>
  <w:style w:type="character" w:customStyle="1" w:styleId="SubtitleChar">
    <w:name w:val="Subtitle Char"/>
    <w:basedOn w:val="a2"/>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2"/>
    <w:uiPriority w:val="99"/>
  </w:style>
  <w:style w:type="character" w:customStyle="1" w:styleId="FooterChar">
    <w:name w:val="Footer Char"/>
    <w:basedOn w:val="a2"/>
    <w:uiPriority w:val="99"/>
  </w:style>
  <w:style w:type="character" w:customStyle="1" w:styleId="a5">
    <w:name w:val="Название объекта Знак"/>
    <w:basedOn w:val="a2"/>
    <w:link w:val="a6"/>
    <w:uiPriority w:val="35"/>
    <w:rPr>
      <w:b/>
      <w:bCs/>
      <w:color w:val="4F81BD" w:themeColor="accent1"/>
      <w:sz w:val="18"/>
      <w:szCs w:val="18"/>
    </w:rPr>
  </w:style>
  <w:style w:type="table" w:customStyle="1" w:styleId="TableGridLight">
    <w:name w:val="Table Grid Light"/>
    <w:basedOn w:val="a3"/>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3"/>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3"/>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3">
    <w:name w:val="Plain Table 3"/>
    <w:basedOn w:val="a3"/>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41">
    <w:name w:val="Plain Table 4"/>
    <w:basedOn w:val="a3"/>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51">
    <w:name w:val="Plain Table 5"/>
    <w:basedOn w:val="a3"/>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1">
    <w:name w:val="Grid Table 1 Light"/>
    <w:basedOn w:val="a3"/>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3"/>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3"/>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3"/>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3"/>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3"/>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3"/>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3"/>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3"/>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3"/>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3"/>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3"/>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3"/>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3"/>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3">
    <w:name w:val="Grid Table 3"/>
    <w:basedOn w:val="a3"/>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3"/>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3"/>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3"/>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3"/>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3"/>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3"/>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4">
    <w:name w:val="Grid Table 4"/>
    <w:basedOn w:val="a3"/>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3"/>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Liberation Sans" w:hAnsi="Liberation Sans"/>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CE6F2" w:themeColor="accent1" w:themeTint="32" w:fill="DCE6F2" w:themeFill="accent1" w:themeFillTint="32"/>
      </w:tcPr>
    </w:tblStylePr>
    <w:tblStylePr w:type="band1Horz">
      <w:rPr>
        <w:rFonts w:ascii="Liberation Sans" w:hAnsi="Liberation Sans"/>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3"/>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Liberation Sans" w:hAnsi="Liberation Sans"/>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3"/>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Liberation Sans" w:hAnsi="Liberation Sans"/>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3"/>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Liberation Sans" w:hAnsi="Liberation Sans"/>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3"/>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Liberation Sans" w:hAnsi="Liberation Sans"/>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3"/>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Liberation Sans" w:hAnsi="Liberation Sans"/>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5">
    <w:name w:val="Grid Table 5 Dark"/>
    <w:basedOn w:val="a3"/>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3"/>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Liberation Sans" w:hAnsi="Liberation Sans"/>
        <w:b/>
        <w:color w:val="FFFFFF"/>
        <w:sz w:val="22"/>
      </w:rPr>
      <w:tblPr/>
      <w:tcPr>
        <w:shd w:val="clear" w:color="4F81BD" w:themeColor="accent1" w:fill="4F81BD" w:themeFill="accent1"/>
      </w:tcPr>
    </w:tblStylePr>
    <w:tblStylePr w:type="lastRow">
      <w:rPr>
        <w:rFonts w:ascii="Liberation Sans" w:hAnsi="Liberation Sans"/>
        <w:b/>
        <w:color w:val="FFFFFF"/>
        <w:sz w:val="22"/>
      </w:rPr>
      <w:tblPr/>
      <w:tcPr>
        <w:tcBorders>
          <w:top w:val="single" w:sz="4" w:space="0" w:color="FFFFFF" w:themeColor="light1"/>
        </w:tcBorders>
        <w:shd w:val="clear" w:color="4F81BD" w:themeColor="accent1" w:fill="4F81BD" w:themeFill="accent1"/>
      </w:tcPr>
    </w:tblStylePr>
    <w:tblStylePr w:type="firstCol">
      <w:rPr>
        <w:rFonts w:ascii="Liberation Sans" w:hAnsi="Liberation Sans"/>
        <w:b/>
        <w:color w:val="FFFFFF"/>
        <w:sz w:val="22"/>
      </w:rPr>
      <w:tblPr/>
      <w:tcPr>
        <w:shd w:val="clear" w:color="4F81BD" w:themeColor="accent1" w:fill="4F81BD" w:themeFill="accent1"/>
      </w:tcPr>
    </w:tblStylePr>
    <w:tblStylePr w:type="lastCol">
      <w:rPr>
        <w:rFonts w:ascii="Liberation Sans" w:hAnsi="Liberation Sans"/>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3"/>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Liberation Sans" w:hAnsi="Liberation Sans"/>
        <w:b/>
        <w:color w:val="FFFFFF"/>
        <w:sz w:val="22"/>
      </w:rPr>
      <w:tblPr/>
      <w:tcPr>
        <w:shd w:val="clear" w:color="C0504D" w:themeColor="accent2" w:fill="C0504D" w:themeFill="accent2"/>
      </w:tcPr>
    </w:tblStylePr>
    <w:tblStylePr w:type="lastRow">
      <w:rPr>
        <w:rFonts w:ascii="Liberation Sans" w:hAnsi="Liberation Sans"/>
        <w:b/>
        <w:color w:val="FFFFFF"/>
        <w:sz w:val="22"/>
      </w:rPr>
      <w:tblPr/>
      <w:tcPr>
        <w:tcBorders>
          <w:top w:val="single" w:sz="4" w:space="0" w:color="FFFFFF" w:themeColor="light1"/>
        </w:tcBorders>
        <w:shd w:val="clear" w:color="C0504D" w:themeColor="accent2" w:fill="C0504D" w:themeFill="accent2"/>
      </w:tcPr>
    </w:tblStylePr>
    <w:tblStylePr w:type="firstCol">
      <w:rPr>
        <w:rFonts w:ascii="Liberation Sans" w:hAnsi="Liberation Sans"/>
        <w:b/>
        <w:color w:val="FFFFFF"/>
        <w:sz w:val="22"/>
      </w:rPr>
      <w:tblPr/>
      <w:tcPr>
        <w:shd w:val="clear" w:color="C0504D" w:themeColor="accent2" w:fill="C0504D" w:themeFill="accent2"/>
      </w:tcPr>
    </w:tblStylePr>
    <w:tblStylePr w:type="lastCol">
      <w:rPr>
        <w:rFonts w:ascii="Liberation Sans" w:hAnsi="Liberation Sans"/>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3"/>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Liberation Sans" w:hAnsi="Liberation Sans"/>
        <w:b/>
        <w:color w:val="FFFFFF"/>
        <w:sz w:val="22"/>
      </w:rPr>
      <w:tblPr/>
      <w:tcPr>
        <w:shd w:val="clear" w:color="9BBB59" w:themeColor="accent3" w:fill="9BBB59" w:themeFill="accent3"/>
      </w:tcPr>
    </w:tblStylePr>
    <w:tblStylePr w:type="lastRow">
      <w:rPr>
        <w:rFonts w:ascii="Liberation Sans" w:hAnsi="Liberation Sans"/>
        <w:b/>
        <w:color w:val="FFFFFF"/>
        <w:sz w:val="22"/>
      </w:rPr>
      <w:tblPr/>
      <w:tcPr>
        <w:tcBorders>
          <w:top w:val="single" w:sz="4" w:space="0" w:color="FFFFFF" w:themeColor="light1"/>
        </w:tcBorders>
        <w:shd w:val="clear" w:color="9BBB59" w:themeColor="accent3" w:fill="9BBB59" w:themeFill="accent3"/>
      </w:tcPr>
    </w:tblStylePr>
    <w:tblStylePr w:type="firstCol">
      <w:rPr>
        <w:rFonts w:ascii="Liberation Sans" w:hAnsi="Liberation Sans"/>
        <w:b/>
        <w:color w:val="FFFFFF"/>
        <w:sz w:val="22"/>
      </w:rPr>
      <w:tblPr/>
      <w:tcPr>
        <w:shd w:val="clear" w:color="9BBB59" w:themeColor="accent3" w:fill="9BBB59" w:themeFill="accent3"/>
      </w:tcPr>
    </w:tblStylePr>
    <w:tblStylePr w:type="lastCol">
      <w:rPr>
        <w:rFonts w:ascii="Liberation Sans" w:hAnsi="Liberation Sans"/>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3"/>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Liberation Sans" w:hAnsi="Liberation Sans"/>
        <w:b/>
        <w:color w:val="FFFFFF"/>
        <w:sz w:val="22"/>
      </w:rPr>
      <w:tblPr/>
      <w:tcPr>
        <w:shd w:val="clear" w:color="8064A2" w:themeColor="accent4" w:fill="8064A2" w:themeFill="accent4"/>
      </w:tcPr>
    </w:tblStylePr>
    <w:tblStylePr w:type="lastRow">
      <w:rPr>
        <w:rFonts w:ascii="Liberation Sans" w:hAnsi="Liberation Sans"/>
        <w:b/>
        <w:color w:val="FFFFFF"/>
        <w:sz w:val="22"/>
      </w:rPr>
      <w:tblPr/>
      <w:tcPr>
        <w:tcBorders>
          <w:top w:val="single" w:sz="4" w:space="0" w:color="FFFFFF" w:themeColor="light1"/>
        </w:tcBorders>
        <w:shd w:val="clear" w:color="8064A2" w:themeColor="accent4" w:fill="8064A2" w:themeFill="accent4"/>
      </w:tcPr>
    </w:tblStylePr>
    <w:tblStylePr w:type="firstCol">
      <w:rPr>
        <w:rFonts w:ascii="Liberation Sans" w:hAnsi="Liberation Sans"/>
        <w:b/>
        <w:color w:val="FFFFFF"/>
        <w:sz w:val="22"/>
      </w:rPr>
      <w:tblPr/>
      <w:tcPr>
        <w:shd w:val="clear" w:color="8064A2" w:themeColor="accent4" w:fill="8064A2" w:themeFill="accent4"/>
      </w:tcPr>
    </w:tblStylePr>
    <w:tblStylePr w:type="lastCol">
      <w:rPr>
        <w:rFonts w:ascii="Liberation Sans" w:hAnsi="Liberation Sans"/>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3"/>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Liberation Sans" w:hAnsi="Liberation Sans"/>
        <w:b/>
        <w:color w:val="FFFFFF"/>
        <w:sz w:val="22"/>
      </w:rPr>
      <w:tblPr/>
      <w:tcPr>
        <w:shd w:val="clear" w:color="4BACC6" w:themeColor="accent5" w:fill="4BACC6" w:themeFill="accent5"/>
      </w:tcPr>
    </w:tblStylePr>
    <w:tblStylePr w:type="lastRow">
      <w:rPr>
        <w:rFonts w:ascii="Liberation Sans" w:hAnsi="Liberation Sans"/>
        <w:b/>
        <w:color w:val="FFFFFF"/>
        <w:sz w:val="22"/>
      </w:rPr>
      <w:tblPr/>
      <w:tcPr>
        <w:tcBorders>
          <w:top w:val="single" w:sz="4" w:space="0" w:color="FFFFFF" w:themeColor="light1"/>
        </w:tcBorders>
        <w:shd w:val="clear" w:color="4BACC6" w:themeColor="accent5" w:fill="4BACC6" w:themeFill="accent5"/>
      </w:tcPr>
    </w:tblStylePr>
    <w:tblStylePr w:type="firstCol">
      <w:rPr>
        <w:rFonts w:ascii="Liberation Sans" w:hAnsi="Liberation Sans"/>
        <w:b/>
        <w:color w:val="FFFFFF"/>
        <w:sz w:val="22"/>
      </w:rPr>
      <w:tblPr/>
      <w:tcPr>
        <w:shd w:val="clear" w:color="4BACC6" w:themeColor="accent5" w:fill="4BACC6" w:themeFill="accent5"/>
      </w:tcPr>
    </w:tblStylePr>
    <w:tblStylePr w:type="lastCol">
      <w:rPr>
        <w:rFonts w:ascii="Liberation Sans" w:hAnsi="Liberation Sans"/>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3"/>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Liberation Sans" w:hAnsi="Liberation Sans"/>
        <w:b/>
        <w:color w:val="FFFFFF"/>
        <w:sz w:val="22"/>
      </w:rPr>
      <w:tblPr/>
      <w:tcPr>
        <w:shd w:val="clear" w:color="F79646" w:themeColor="accent6" w:fill="F79646" w:themeFill="accent6"/>
      </w:tcPr>
    </w:tblStylePr>
    <w:tblStylePr w:type="lastRow">
      <w:rPr>
        <w:rFonts w:ascii="Liberation Sans" w:hAnsi="Liberation Sans"/>
        <w:b/>
        <w:color w:val="FFFFFF"/>
        <w:sz w:val="22"/>
      </w:rPr>
      <w:tblPr/>
      <w:tcPr>
        <w:tcBorders>
          <w:top w:val="single" w:sz="4" w:space="0" w:color="FFFFFF" w:themeColor="light1"/>
        </w:tcBorders>
        <w:shd w:val="clear" w:color="F79646" w:themeColor="accent6" w:fill="F79646" w:themeFill="accent6"/>
      </w:tcPr>
    </w:tblStylePr>
    <w:tblStylePr w:type="firstCol">
      <w:rPr>
        <w:rFonts w:ascii="Liberation Sans" w:hAnsi="Liberation Sans"/>
        <w:b/>
        <w:color w:val="FFFFFF"/>
        <w:sz w:val="22"/>
      </w:rPr>
      <w:tblPr/>
      <w:tcPr>
        <w:shd w:val="clear" w:color="F79646" w:themeColor="accent6" w:fill="F79646" w:themeFill="accent6"/>
      </w:tcPr>
    </w:tblStylePr>
    <w:tblStylePr w:type="lastCol">
      <w:rPr>
        <w:rFonts w:ascii="Liberation Sans" w:hAnsi="Liberation Sans"/>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3"/>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3"/>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6Colorful-Accent2">
    <w:name w:val="Grid Table 6 Colorful - Accent 2"/>
    <w:basedOn w:val="a3"/>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6Colorful-Accent3">
    <w:name w:val="Grid Table 6 Colorful - Accent 3"/>
    <w:basedOn w:val="a3"/>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6Colorful-Accent4">
    <w:name w:val="Grid Table 6 Colorful - Accent 4"/>
    <w:basedOn w:val="a3"/>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6Colorful-Accent5">
    <w:name w:val="Grid Table 6 Colorful - Accent 5"/>
    <w:basedOn w:val="a3"/>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6Colorful-Accent6">
    <w:name w:val="Grid Table 6 Colorful - Accent 6"/>
    <w:basedOn w:val="a3"/>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Liberation Sans" w:hAnsi="Liberation Sans"/>
        <w:color w:val="266779" w:themeColor="accent5" w:themeShade="95"/>
        <w:sz w:val="22"/>
      </w:rPr>
      <w:tblPr/>
      <w:tcPr>
        <w:shd w:val="clear" w:color="FDE9D8" w:themeColor="accent6" w:themeTint="34" w:fill="FDE9D8" w:themeFill="accent6" w:themeFillTint="34"/>
      </w:tcPr>
    </w:tblStylePr>
    <w:tblStylePr w:type="band2Horz">
      <w:rPr>
        <w:rFonts w:ascii="Liberation Sans" w:hAnsi="Liberation Sans"/>
        <w:color w:val="266779" w:themeColor="accent5" w:themeShade="95"/>
        <w:sz w:val="22"/>
      </w:rPr>
    </w:tblStylePr>
  </w:style>
  <w:style w:type="table" w:styleId="-7">
    <w:name w:val="Grid Table 7 Colorful"/>
    <w:basedOn w:val="a3"/>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3"/>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Liberation Sans" w:hAnsi="Liberation Sans"/>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Liberation Sans" w:hAnsi="Liberation Sans"/>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Liberation Sans" w:hAnsi="Liberation Sans"/>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7Colorful-Accent2">
    <w:name w:val="Grid Table 7 Colorful - Accent 2"/>
    <w:basedOn w:val="a3"/>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Liberation Sans" w:hAnsi="Liberation Sans"/>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Liberation Sans" w:hAnsi="Liberation Sans"/>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7Colorful-Accent3">
    <w:name w:val="Grid Table 7 Colorful - Accent 3"/>
    <w:basedOn w:val="a3"/>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Liberation Sans" w:hAnsi="Liberation Sans"/>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Liberation Sans" w:hAnsi="Liberation Sans"/>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Liberation Sans" w:hAnsi="Liberation Sans"/>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7Colorful-Accent4">
    <w:name w:val="Grid Table 7 Colorful - Accent 4"/>
    <w:basedOn w:val="a3"/>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Liberation Sans" w:hAnsi="Liberation Sans"/>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Liberation Sans" w:hAnsi="Liberation Sans"/>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7Colorful-Accent5">
    <w:name w:val="Grid Table 7 Colorful - Accent 5"/>
    <w:basedOn w:val="a3"/>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Liberation Sans" w:hAnsi="Liberation Sans"/>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Liberation Sans" w:hAnsi="Liberation Sans"/>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Liberation Sans" w:hAnsi="Liberation Sans"/>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7Colorful-Accent6">
    <w:name w:val="Grid Table 7 Colorful - Accent 6"/>
    <w:basedOn w:val="a3"/>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Liberation Sans" w:hAnsi="Liberation Sans"/>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Liberation Sans" w:hAnsi="Liberation Sans"/>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Liberation Sans" w:hAnsi="Liberation Sans"/>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Liberation Sans" w:hAnsi="Liberation Sans"/>
        <w:color w:val="B15407" w:themeColor="accent6" w:themeShade="95"/>
        <w:sz w:val="22"/>
      </w:rPr>
      <w:tblPr/>
      <w:tcPr>
        <w:shd w:val="clear" w:color="FDE9D8" w:themeColor="accent6" w:themeTint="34" w:fill="FDE9D8" w:themeFill="accent6" w:themeFillTint="34"/>
      </w:tcPr>
    </w:tblStylePr>
    <w:tblStylePr w:type="band2Horz">
      <w:rPr>
        <w:rFonts w:ascii="Liberation Sans" w:hAnsi="Liberation Sans"/>
        <w:color w:val="B15407" w:themeColor="accent6" w:themeShade="95"/>
        <w:sz w:val="22"/>
      </w:rPr>
    </w:tblStylePr>
  </w:style>
  <w:style w:type="table" w:styleId="-10">
    <w:name w:val="List Table 1 Light"/>
    <w:basedOn w:val="a3"/>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3"/>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3"/>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3"/>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3"/>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3"/>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3"/>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3"/>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3"/>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3"/>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3"/>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3"/>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3"/>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3"/>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styleId="-30">
    <w:name w:val="List Table 3"/>
    <w:basedOn w:val="a3"/>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3"/>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F81BD" w:themeColor="accent1"/>
          <w:right w:val="single" w:sz="4" w:space="0" w:color="4F81BD" w:themeColor="accent1"/>
        </w:tcBorders>
      </w:tcPr>
    </w:tblStylePr>
    <w:tblStylePr w:type="band1Horz">
      <w:rPr>
        <w:rFonts w:ascii="Liberation Sans" w:hAnsi="Liberation Sans"/>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3"/>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Liberation Sans" w:hAnsi="Liberation Sans"/>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Liberation Sans" w:hAnsi="Liberation Sans"/>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3"/>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Liberation Sans" w:hAnsi="Liberation Sans"/>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Liberation Sans" w:hAnsi="Liberation Sans"/>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3"/>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Liberation Sans" w:hAnsi="Liberation Sans"/>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Liberation Sans" w:hAnsi="Liberation Sans"/>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3"/>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Liberation Sans" w:hAnsi="Liberation Sans"/>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Liberation Sans" w:hAnsi="Liberation Sans"/>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3"/>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Liberation Sans" w:hAnsi="Liberation Sans"/>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Liberation Sans" w:hAnsi="Liberation Sans"/>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3"/>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3"/>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3"/>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Liberation Sans" w:hAnsi="Liberation Sans"/>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3"/>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Liberation Sans" w:hAnsi="Liberation Sans"/>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3"/>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Liberation Sans" w:hAnsi="Liberation Sans"/>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3"/>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Liberation Sans" w:hAnsi="Liberation Sans"/>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3"/>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Liberation Sans" w:hAnsi="Liberation Sans"/>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styleId="-50">
    <w:name w:val="List Table 5 Dark"/>
    <w:basedOn w:val="a3"/>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3"/>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Liberation Sans" w:hAnsi="Liberation Sans"/>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3"/>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Liberation Sans" w:hAnsi="Liberation Sans"/>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3"/>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Liberation Sans" w:hAnsi="Liberation Sans"/>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3"/>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Liberation Sans" w:hAnsi="Liberation Sans"/>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3"/>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Liberation Sans" w:hAnsi="Liberation Sans"/>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3"/>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Liberation Sans" w:hAnsi="Liberation Sans"/>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3"/>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3"/>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6Colorful-Accent2">
    <w:name w:val="List Table 6 Colorful - Accent 2"/>
    <w:basedOn w:val="a3"/>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6Colorful-Accent3">
    <w:name w:val="List Table 6 Colorful - Accent 3"/>
    <w:basedOn w:val="a3"/>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6Colorful-Accent4">
    <w:name w:val="List Table 6 Colorful - Accent 4"/>
    <w:basedOn w:val="a3"/>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6Colorful-Accent5">
    <w:name w:val="List Table 6 Colorful - Accent 5"/>
    <w:basedOn w:val="a3"/>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6Colorful-Accent6">
    <w:name w:val="List Table 6 Colorful - Accent 6"/>
    <w:basedOn w:val="a3"/>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styleId="-70">
    <w:name w:val="List Table 7 Colorful"/>
    <w:basedOn w:val="a3"/>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3"/>
    <w:uiPriority w:val="99"/>
    <w:pPr>
      <w:spacing w:after="0" w:line="240" w:lineRule="auto"/>
    </w:pPr>
    <w:tblPr>
      <w:tblStyleRowBandSize w:val="1"/>
      <w:tblStyleColBandSize w:val="1"/>
      <w:tblBorders>
        <w:right w:val="single" w:sz="4" w:space="0" w:color="4F81BD" w:themeColor="accent1"/>
      </w:tblBorders>
    </w:tblPr>
    <w:tblStylePr w:type="firstRow">
      <w:rPr>
        <w:rFonts w:ascii="Liberation Sans" w:hAnsi="Liberation Sans"/>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Liberation Sans" w:hAnsi="Liberation Sans"/>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Liberation Sans" w:hAnsi="Liberation Sans"/>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7Colorful-Accent2">
    <w:name w:val="List Table 7 Colorful - Accent 2"/>
    <w:basedOn w:val="a3"/>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Liberation Sans" w:hAnsi="Liberation Sans"/>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Liberation Sans" w:hAnsi="Liberation Sans"/>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7Colorful-Accent3">
    <w:name w:val="List Table 7 Colorful - Accent 3"/>
    <w:basedOn w:val="a3"/>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Liberation Sans" w:hAnsi="Liberation Sans"/>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Liberation Sans" w:hAnsi="Liberation Sans"/>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Liberation Sans" w:hAnsi="Liberation Sans"/>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7Colorful-Accent4">
    <w:name w:val="List Table 7 Colorful - Accent 4"/>
    <w:basedOn w:val="a3"/>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Liberation Sans" w:hAnsi="Liberation Sans"/>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Liberation Sans" w:hAnsi="Liberation Sans"/>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7Colorful-Accent5">
    <w:name w:val="List Table 7 Colorful - Accent 5"/>
    <w:basedOn w:val="a3"/>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Liberation Sans" w:hAnsi="Liberation Sans"/>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Liberation Sans" w:hAnsi="Liberation Sans"/>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Liberation Sans" w:hAnsi="Liberation Sans"/>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7Colorful-Accent6">
    <w:name w:val="List Table 7 Colorful - Accent 6"/>
    <w:basedOn w:val="a3"/>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Liberation Sans" w:hAnsi="Liberation Sans"/>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Liberation Sans" w:hAnsi="Liberation Sans"/>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Liberation Sans" w:hAnsi="Liberation Sans"/>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customStyle="1" w:styleId="Lined-Accent">
    <w:name w:val="Lined - Accent"/>
    <w:basedOn w:val="a3"/>
    <w:uiPriority w:val="99"/>
    <w:pPr>
      <w:spacing w:after="0" w:line="240" w:lineRule="auto"/>
    </w:pPr>
    <w:rPr>
      <w:color w:val="404040"/>
      <w:sz w:val="20"/>
      <w:szCs w:val="20"/>
      <w:lang w:val="ru-RU" w:eastAsia="ru-RU"/>
    </w:rPr>
    <w:tblPr>
      <w:tblStyleRowBandSize w:val="1"/>
      <w:tblStyleColBandSize w:val="1"/>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3"/>
    <w:uiPriority w:val="99"/>
    <w:pPr>
      <w:spacing w:after="0" w:line="240" w:lineRule="auto"/>
    </w:pPr>
    <w:rPr>
      <w:color w:val="404040"/>
      <w:sz w:val="20"/>
      <w:szCs w:val="20"/>
      <w:lang w:val="ru-RU" w:eastAsia="ru-RU"/>
    </w:rPr>
    <w:tblPr>
      <w:tblStyleRowBandSize w:val="1"/>
      <w:tblStyleColBandSize w:val="1"/>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Lined-Accent2">
    <w:name w:val="Lined - Accent 2"/>
    <w:basedOn w:val="a3"/>
    <w:uiPriority w:val="99"/>
    <w:pPr>
      <w:spacing w:after="0" w:line="240" w:lineRule="auto"/>
    </w:pPr>
    <w:rPr>
      <w:color w:val="404040"/>
      <w:sz w:val="20"/>
      <w:szCs w:val="20"/>
      <w:lang w:val="ru-RU" w:eastAsia="ru-RU"/>
    </w:rPr>
    <w:tblPr>
      <w:tblStyleRowBandSize w:val="1"/>
      <w:tblStyleColBandSize w:val="1"/>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Lined-Accent3">
    <w:name w:val="Lined - Accent 3"/>
    <w:basedOn w:val="a3"/>
    <w:uiPriority w:val="99"/>
    <w:pPr>
      <w:spacing w:after="0" w:line="240" w:lineRule="auto"/>
    </w:pPr>
    <w:rPr>
      <w:color w:val="404040"/>
      <w:sz w:val="20"/>
      <w:szCs w:val="20"/>
      <w:lang w:val="ru-RU" w:eastAsia="ru-RU"/>
    </w:rPr>
    <w:tblPr>
      <w:tblStyleRowBandSize w:val="1"/>
      <w:tblStyleColBandSize w:val="1"/>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Lined-Accent4">
    <w:name w:val="Lined - Accent 4"/>
    <w:basedOn w:val="a3"/>
    <w:uiPriority w:val="99"/>
    <w:pPr>
      <w:spacing w:after="0" w:line="240" w:lineRule="auto"/>
    </w:pPr>
    <w:rPr>
      <w:color w:val="404040"/>
      <w:sz w:val="20"/>
      <w:szCs w:val="20"/>
      <w:lang w:val="ru-RU" w:eastAsia="ru-RU"/>
    </w:rPr>
    <w:tblPr>
      <w:tblStyleRowBandSize w:val="1"/>
      <w:tblStyleColBandSize w:val="1"/>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Lined-Accent5">
    <w:name w:val="Lined - Accent 5"/>
    <w:basedOn w:val="a3"/>
    <w:uiPriority w:val="99"/>
    <w:pPr>
      <w:spacing w:after="0" w:line="240" w:lineRule="auto"/>
    </w:pPr>
    <w:rPr>
      <w:color w:val="404040"/>
      <w:sz w:val="20"/>
      <w:szCs w:val="20"/>
      <w:lang w:val="ru-RU" w:eastAsia="ru-RU"/>
    </w:rPr>
    <w:tblPr>
      <w:tblStyleRowBandSize w:val="1"/>
      <w:tblStyleColBandSize w:val="1"/>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Lined-Accent6">
    <w:name w:val="Lined - Accent 6"/>
    <w:basedOn w:val="a3"/>
    <w:uiPriority w:val="99"/>
    <w:pPr>
      <w:spacing w:after="0" w:line="240" w:lineRule="auto"/>
    </w:pPr>
    <w:rPr>
      <w:color w:val="404040"/>
      <w:sz w:val="20"/>
      <w:szCs w:val="20"/>
      <w:lang w:val="ru-RU" w:eastAsia="ru-RU"/>
    </w:rPr>
    <w:tblPr>
      <w:tblStyleRowBandSize w:val="1"/>
      <w:tblStyleColBandSize w:val="1"/>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3"/>
    <w:uiPriority w:val="99"/>
    <w:pPr>
      <w:spacing w:after="0" w:line="240" w:lineRule="auto"/>
    </w:pPr>
    <w:rPr>
      <w:color w:val="404040"/>
      <w:sz w:val="20"/>
      <w:szCs w:val="20"/>
      <w:lang w:val="ru-RU"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3"/>
    <w:uiPriority w:val="99"/>
    <w:pPr>
      <w:spacing w:after="0" w:line="240" w:lineRule="auto"/>
    </w:pPr>
    <w:rPr>
      <w:color w:val="404040"/>
      <w:sz w:val="20"/>
      <w:szCs w:val="20"/>
      <w:lang w:val="ru-RU"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3"/>
    <w:uiPriority w:val="99"/>
    <w:pPr>
      <w:spacing w:after="0" w:line="240" w:lineRule="auto"/>
    </w:pPr>
    <w:rPr>
      <w:color w:val="404040"/>
      <w:sz w:val="20"/>
      <w:szCs w:val="20"/>
      <w:lang w:val="ru-RU"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3"/>
    <w:uiPriority w:val="99"/>
    <w:pPr>
      <w:spacing w:after="0" w:line="240" w:lineRule="auto"/>
    </w:pPr>
    <w:rPr>
      <w:color w:val="404040"/>
      <w:sz w:val="20"/>
      <w:szCs w:val="20"/>
      <w:lang w:val="ru-RU"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3"/>
    <w:uiPriority w:val="99"/>
    <w:pPr>
      <w:spacing w:after="0" w:line="240" w:lineRule="auto"/>
    </w:pPr>
    <w:rPr>
      <w:color w:val="404040"/>
      <w:sz w:val="20"/>
      <w:szCs w:val="20"/>
      <w:lang w:val="ru-RU"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3"/>
    <w:uiPriority w:val="99"/>
    <w:pPr>
      <w:spacing w:after="0" w:line="240" w:lineRule="auto"/>
    </w:pPr>
    <w:rPr>
      <w:color w:val="404040"/>
      <w:sz w:val="20"/>
      <w:szCs w:val="20"/>
      <w:lang w:val="ru-RU"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3"/>
    <w:uiPriority w:val="99"/>
    <w:pPr>
      <w:spacing w:after="0" w:line="240" w:lineRule="auto"/>
    </w:pPr>
    <w:rPr>
      <w:color w:val="404040"/>
      <w:sz w:val="20"/>
      <w:szCs w:val="20"/>
      <w:lang w:val="ru-RU"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
    <w:name w:val="Bordered"/>
    <w:basedOn w:val="a3"/>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3"/>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Liberation Sans" w:hAnsi="Liberation Sans"/>
        <w:color w:val="404040"/>
        <w:sz w:val="22"/>
      </w:rPr>
      <w:tblPr/>
      <w:tcPr>
        <w:tcBorders>
          <w:bottom w:val="single" w:sz="12" w:space="0" w:color="4F81BD" w:themeColor="accent1"/>
        </w:tcBorders>
      </w:tcPr>
    </w:tblStylePr>
    <w:tblStylePr w:type="lastRow">
      <w:rPr>
        <w:rFonts w:ascii="Liberation Sans" w:hAnsi="Liberation Sans"/>
        <w:color w:val="404040"/>
        <w:sz w:val="22"/>
      </w:rPr>
      <w:tblPr/>
      <w:tcPr>
        <w:tcBorders>
          <w:top w:val="single" w:sz="12" w:space="0" w:color="4F81BD"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F81BD" w:themeColor="accent1"/>
        </w:tcBorders>
      </w:tc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3"/>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Liberation Sans" w:hAnsi="Liberation Sans"/>
        <w:color w:val="404040"/>
        <w:sz w:val="22"/>
      </w:rPr>
      <w:tblPr/>
      <w:tcPr>
        <w:tcBorders>
          <w:bottom w:val="single" w:sz="12" w:space="0" w:color="D99695" w:themeColor="accent2" w:themeTint="97"/>
        </w:tcBorders>
      </w:tcPr>
    </w:tblStylePr>
    <w:tblStylePr w:type="lastRow">
      <w:rPr>
        <w:rFonts w:ascii="Liberation Sans" w:hAnsi="Liberation Sans"/>
        <w:color w:val="404040"/>
        <w:sz w:val="22"/>
      </w:rPr>
      <w:tblPr/>
      <w:tcPr>
        <w:tcBorders>
          <w:top w:val="single" w:sz="12" w:space="0" w:color="D99695"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D99695" w:themeColor="accent2" w:themeTint="97"/>
        </w:tcBorders>
      </w:tc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3"/>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Liberation Sans" w:hAnsi="Liberation Sans"/>
        <w:color w:val="404040"/>
        <w:sz w:val="22"/>
      </w:rPr>
      <w:tblPr/>
      <w:tcPr>
        <w:tcBorders>
          <w:bottom w:val="single" w:sz="12" w:space="0" w:color="C3D69B" w:themeColor="accent3" w:themeTint="98"/>
        </w:tcBorders>
      </w:tcPr>
    </w:tblStylePr>
    <w:tblStylePr w:type="lastRow">
      <w:rPr>
        <w:rFonts w:ascii="Liberation Sans" w:hAnsi="Liberation Sans"/>
        <w:color w:val="404040"/>
        <w:sz w:val="22"/>
      </w:rPr>
      <w:tblPr/>
      <w:tcPr>
        <w:tcBorders>
          <w:top w:val="single" w:sz="12" w:space="0" w:color="C3D69B"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3D69B" w:themeColor="accent3" w:themeTint="98"/>
        </w:tcBorders>
      </w:tc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3"/>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Liberation Sans" w:hAnsi="Liberation Sans"/>
        <w:color w:val="404040"/>
        <w:sz w:val="22"/>
      </w:rPr>
      <w:tblPr/>
      <w:tcPr>
        <w:tcBorders>
          <w:bottom w:val="single" w:sz="12" w:space="0" w:color="B2A1C6" w:themeColor="accent4" w:themeTint="9A"/>
        </w:tcBorders>
      </w:tcPr>
    </w:tblStylePr>
    <w:tblStylePr w:type="lastRow">
      <w:rPr>
        <w:rFonts w:ascii="Liberation Sans" w:hAnsi="Liberation Sans"/>
        <w:color w:val="404040"/>
        <w:sz w:val="22"/>
      </w:rPr>
      <w:tblPr/>
      <w:tcPr>
        <w:tcBorders>
          <w:top w:val="single" w:sz="12" w:space="0" w:color="B2A1C6"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B2A1C6" w:themeColor="accent4" w:themeTint="9A"/>
        </w:tcBorders>
      </w:tc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3"/>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Liberation Sans" w:hAnsi="Liberation Sans"/>
        <w:color w:val="404040"/>
        <w:sz w:val="22"/>
      </w:rPr>
      <w:tblPr/>
      <w:tcPr>
        <w:tcBorders>
          <w:bottom w:val="single" w:sz="12" w:space="0" w:color="92CCDC" w:themeColor="accent5" w:themeTint="9A"/>
        </w:tcBorders>
      </w:tcPr>
    </w:tblStylePr>
    <w:tblStylePr w:type="lastRow">
      <w:rPr>
        <w:rFonts w:ascii="Liberation Sans" w:hAnsi="Liberation Sans"/>
        <w:color w:val="404040"/>
        <w:sz w:val="22"/>
      </w:rPr>
      <w:tblPr/>
      <w:tcPr>
        <w:tcBorders>
          <w:top w:val="single" w:sz="12" w:space="0" w:color="92CCDC"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2CCDC" w:themeColor="accent5" w:themeTint="9A"/>
        </w:tcBorders>
      </w:tc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3"/>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Liberation Sans" w:hAnsi="Liberation Sans"/>
        <w:color w:val="404040"/>
        <w:sz w:val="22"/>
      </w:rPr>
      <w:tblPr/>
      <w:tcPr>
        <w:tcBorders>
          <w:bottom w:val="single" w:sz="12" w:space="0" w:color="FAC090" w:themeColor="accent6" w:themeTint="98"/>
        </w:tcBorders>
      </w:tcPr>
    </w:tblStylePr>
    <w:tblStylePr w:type="lastRow">
      <w:rPr>
        <w:rFonts w:ascii="Liberation Sans" w:hAnsi="Liberation Sans"/>
        <w:color w:val="404040"/>
        <w:sz w:val="22"/>
      </w:rPr>
      <w:tblPr/>
      <w:tcPr>
        <w:tcBorders>
          <w:top w:val="single" w:sz="12" w:space="0" w:color="FAC090"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AC090" w:themeColor="accent6" w:themeTint="98"/>
        </w:tcBorders>
      </w:tc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7">
    <w:name w:val="footnote text"/>
    <w:basedOn w:val="a1"/>
    <w:link w:val="a8"/>
    <w:uiPriority w:val="99"/>
    <w:semiHidden/>
    <w:unhideWhenUsed/>
    <w:pPr>
      <w:spacing w:after="40" w:line="240" w:lineRule="auto"/>
    </w:pPr>
    <w:rPr>
      <w:sz w:val="18"/>
    </w:rPr>
  </w:style>
  <w:style w:type="character" w:customStyle="1" w:styleId="a8">
    <w:name w:val="Текст сноски Знак"/>
    <w:link w:val="a7"/>
    <w:uiPriority w:val="99"/>
    <w:rPr>
      <w:sz w:val="18"/>
    </w:rPr>
  </w:style>
  <w:style w:type="character" w:styleId="a9">
    <w:name w:val="footnote reference"/>
    <w:basedOn w:val="a2"/>
    <w:uiPriority w:val="99"/>
    <w:unhideWhenUsed/>
    <w:rPr>
      <w:vertAlign w:val="superscript"/>
    </w:rPr>
  </w:style>
  <w:style w:type="paragraph" w:styleId="aa">
    <w:name w:val="endnote text"/>
    <w:basedOn w:val="a1"/>
    <w:link w:val="ab"/>
    <w:uiPriority w:val="99"/>
    <w:semiHidden/>
    <w:unhideWhenUsed/>
    <w:pPr>
      <w:spacing w:after="0" w:line="240" w:lineRule="auto"/>
    </w:pPr>
    <w:rPr>
      <w:sz w:val="20"/>
    </w:rPr>
  </w:style>
  <w:style w:type="character" w:customStyle="1" w:styleId="ab">
    <w:name w:val="Текст концевой сноски Знак"/>
    <w:link w:val="aa"/>
    <w:uiPriority w:val="99"/>
    <w:rPr>
      <w:sz w:val="20"/>
    </w:rPr>
  </w:style>
  <w:style w:type="character" w:styleId="ac">
    <w:name w:val="endnote reference"/>
    <w:basedOn w:val="a2"/>
    <w:uiPriority w:val="99"/>
    <w:semiHidden/>
    <w:unhideWhenUsed/>
    <w:rPr>
      <w:vertAlign w:val="superscript"/>
    </w:rPr>
  </w:style>
  <w:style w:type="paragraph" w:styleId="12">
    <w:name w:val="toc 1"/>
    <w:basedOn w:val="a1"/>
    <w:next w:val="a1"/>
    <w:uiPriority w:val="39"/>
    <w:unhideWhenUsed/>
    <w:pPr>
      <w:spacing w:after="57"/>
    </w:pPr>
  </w:style>
  <w:style w:type="paragraph" w:styleId="24">
    <w:name w:val="toc 2"/>
    <w:basedOn w:val="a1"/>
    <w:next w:val="a1"/>
    <w:uiPriority w:val="39"/>
    <w:unhideWhenUsed/>
    <w:pPr>
      <w:spacing w:after="57"/>
      <w:ind w:left="283"/>
    </w:pPr>
  </w:style>
  <w:style w:type="paragraph" w:styleId="34">
    <w:name w:val="toc 3"/>
    <w:basedOn w:val="a1"/>
    <w:next w:val="a1"/>
    <w:uiPriority w:val="39"/>
    <w:unhideWhenUsed/>
    <w:pPr>
      <w:spacing w:after="57"/>
      <w:ind w:left="567"/>
    </w:pPr>
  </w:style>
  <w:style w:type="paragraph" w:styleId="42">
    <w:name w:val="toc 4"/>
    <w:basedOn w:val="a1"/>
    <w:next w:val="a1"/>
    <w:uiPriority w:val="39"/>
    <w:unhideWhenUsed/>
    <w:pPr>
      <w:spacing w:after="57"/>
      <w:ind w:left="850"/>
    </w:pPr>
  </w:style>
  <w:style w:type="paragraph" w:styleId="52">
    <w:name w:val="toc 5"/>
    <w:basedOn w:val="a1"/>
    <w:next w:val="a1"/>
    <w:uiPriority w:val="39"/>
    <w:unhideWhenUsed/>
    <w:pPr>
      <w:spacing w:after="57"/>
      <w:ind w:left="1134"/>
    </w:pPr>
  </w:style>
  <w:style w:type="paragraph" w:styleId="61">
    <w:name w:val="toc 6"/>
    <w:basedOn w:val="a1"/>
    <w:next w:val="a1"/>
    <w:uiPriority w:val="39"/>
    <w:unhideWhenUsed/>
    <w:pPr>
      <w:spacing w:after="57"/>
      <w:ind w:left="1417"/>
    </w:pPr>
  </w:style>
  <w:style w:type="paragraph" w:styleId="71">
    <w:name w:val="toc 7"/>
    <w:basedOn w:val="a1"/>
    <w:next w:val="a1"/>
    <w:uiPriority w:val="39"/>
    <w:unhideWhenUsed/>
    <w:pPr>
      <w:spacing w:after="57"/>
      <w:ind w:left="1701"/>
    </w:pPr>
  </w:style>
  <w:style w:type="paragraph" w:styleId="81">
    <w:name w:val="toc 8"/>
    <w:basedOn w:val="a1"/>
    <w:next w:val="a1"/>
    <w:uiPriority w:val="39"/>
    <w:unhideWhenUsed/>
    <w:pPr>
      <w:spacing w:after="57"/>
      <w:ind w:left="1984"/>
    </w:pPr>
  </w:style>
  <w:style w:type="paragraph" w:styleId="91">
    <w:name w:val="toc 9"/>
    <w:basedOn w:val="a1"/>
    <w:next w:val="a1"/>
    <w:uiPriority w:val="39"/>
    <w:unhideWhenUsed/>
    <w:pPr>
      <w:spacing w:after="57"/>
      <w:ind w:left="2268"/>
    </w:pPr>
  </w:style>
  <w:style w:type="paragraph" w:styleId="ad">
    <w:name w:val="table of figures"/>
    <w:basedOn w:val="a1"/>
    <w:next w:val="a1"/>
    <w:uiPriority w:val="99"/>
    <w:unhideWhenUsed/>
    <w:pPr>
      <w:spacing w:after="0"/>
    </w:pPr>
  </w:style>
  <w:style w:type="paragraph" w:styleId="ae">
    <w:name w:val="header"/>
    <w:basedOn w:val="a1"/>
    <w:link w:val="af"/>
    <w:uiPriority w:val="99"/>
    <w:unhideWhenUsed/>
    <w:pPr>
      <w:tabs>
        <w:tab w:val="center" w:pos="4680"/>
        <w:tab w:val="right" w:pos="9360"/>
      </w:tabs>
      <w:spacing w:after="0" w:line="240" w:lineRule="auto"/>
    </w:pPr>
  </w:style>
  <w:style w:type="character" w:customStyle="1" w:styleId="af">
    <w:name w:val="Верхний колонтитул Знак"/>
    <w:basedOn w:val="a2"/>
    <w:link w:val="ae"/>
    <w:uiPriority w:val="99"/>
  </w:style>
  <w:style w:type="paragraph" w:styleId="af0">
    <w:name w:val="footer"/>
    <w:basedOn w:val="a1"/>
    <w:link w:val="af1"/>
    <w:uiPriority w:val="99"/>
    <w:unhideWhenUsed/>
    <w:pPr>
      <w:tabs>
        <w:tab w:val="center" w:pos="4680"/>
        <w:tab w:val="right" w:pos="9360"/>
      </w:tabs>
      <w:spacing w:after="0" w:line="240" w:lineRule="auto"/>
    </w:pPr>
  </w:style>
  <w:style w:type="character" w:customStyle="1" w:styleId="af1">
    <w:name w:val="Нижний колонтитул Знак"/>
    <w:basedOn w:val="a2"/>
    <w:link w:val="af0"/>
    <w:uiPriority w:val="99"/>
  </w:style>
  <w:style w:type="paragraph" w:styleId="af2">
    <w:name w:val="No Spacing"/>
    <w:uiPriority w:val="1"/>
    <w:qFormat/>
    <w:pPr>
      <w:spacing w:after="0" w:line="240" w:lineRule="auto"/>
    </w:pPr>
  </w:style>
  <w:style w:type="character" w:customStyle="1" w:styleId="10">
    <w:name w:val="Заголовок 1 Знак"/>
    <w:basedOn w:val="a2"/>
    <w:link w:val="1"/>
    <w:uiPriority w:val="9"/>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Pr>
      <w:rFonts w:asciiTheme="majorHAnsi" w:eastAsiaTheme="majorEastAsia" w:hAnsiTheme="majorHAnsi" w:cstheme="majorBidi"/>
      <w:b/>
      <w:bCs/>
      <w:color w:val="4F81BD" w:themeColor="accent1"/>
    </w:rPr>
  </w:style>
  <w:style w:type="paragraph" w:styleId="af3">
    <w:name w:val="Title"/>
    <w:basedOn w:val="a1"/>
    <w:next w:val="a1"/>
    <w:link w:val="af4"/>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sz w:val="52"/>
      <w:szCs w:val="52"/>
    </w:rPr>
  </w:style>
  <w:style w:type="character" w:customStyle="1" w:styleId="af4">
    <w:name w:val="Заголовок Знак"/>
    <w:basedOn w:val="a2"/>
    <w:link w:val="af3"/>
    <w:uiPriority w:val="10"/>
    <w:rPr>
      <w:rFonts w:asciiTheme="majorHAnsi" w:eastAsiaTheme="majorEastAsia" w:hAnsiTheme="majorHAnsi" w:cstheme="majorBidi"/>
      <w:color w:val="17365D" w:themeColor="text2" w:themeShade="BF"/>
      <w:spacing w:val="5"/>
      <w:sz w:val="52"/>
      <w:szCs w:val="52"/>
    </w:rPr>
  </w:style>
  <w:style w:type="paragraph" w:styleId="af5">
    <w:name w:val="Subtitle"/>
    <w:basedOn w:val="a1"/>
    <w:next w:val="a1"/>
    <w:link w:val="af6"/>
    <w:uiPriority w:val="11"/>
    <w:qFormat/>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6">
    <w:name w:val="Подзаголовок Знак"/>
    <w:basedOn w:val="a2"/>
    <w:link w:val="af5"/>
    <w:uiPriority w:val="11"/>
    <w:rPr>
      <w:rFonts w:asciiTheme="majorHAnsi" w:eastAsiaTheme="majorEastAsia" w:hAnsiTheme="majorHAnsi" w:cstheme="majorBidi"/>
      <w:i/>
      <w:iCs/>
      <w:color w:val="4F81BD" w:themeColor="accent1"/>
      <w:spacing w:val="15"/>
      <w:sz w:val="24"/>
      <w:szCs w:val="24"/>
    </w:rPr>
  </w:style>
  <w:style w:type="paragraph" w:styleId="af7">
    <w:name w:val="List Paragraph"/>
    <w:basedOn w:val="a1"/>
    <w:uiPriority w:val="34"/>
    <w:qFormat/>
    <w:pPr>
      <w:ind w:left="720"/>
      <w:contextualSpacing/>
    </w:pPr>
  </w:style>
  <w:style w:type="paragraph" w:styleId="af8">
    <w:name w:val="Body Text"/>
    <w:basedOn w:val="a1"/>
    <w:link w:val="af9"/>
    <w:uiPriority w:val="99"/>
    <w:unhideWhenUsed/>
  </w:style>
  <w:style w:type="character" w:customStyle="1" w:styleId="af9">
    <w:name w:val="Основной текст Знак"/>
    <w:basedOn w:val="a2"/>
    <w:link w:val="af8"/>
    <w:uiPriority w:val="99"/>
  </w:style>
  <w:style w:type="paragraph" w:styleId="25">
    <w:name w:val="Body Text 2"/>
    <w:basedOn w:val="a1"/>
    <w:link w:val="26"/>
    <w:uiPriority w:val="99"/>
    <w:unhideWhenUsed/>
    <w:pPr>
      <w:spacing w:line="480" w:lineRule="auto"/>
    </w:pPr>
  </w:style>
  <w:style w:type="character" w:customStyle="1" w:styleId="26">
    <w:name w:val="Основной текст 2 Знак"/>
    <w:basedOn w:val="a2"/>
    <w:link w:val="25"/>
    <w:uiPriority w:val="99"/>
  </w:style>
  <w:style w:type="paragraph" w:styleId="35">
    <w:name w:val="Body Text 3"/>
    <w:basedOn w:val="a1"/>
    <w:link w:val="36"/>
    <w:uiPriority w:val="99"/>
    <w:unhideWhenUsed/>
    <w:rPr>
      <w:sz w:val="16"/>
      <w:szCs w:val="16"/>
    </w:rPr>
  </w:style>
  <w:style w:type="character" w:customStyle="1" w:styleId="36">
    <w:name w:val="Основной текст 3 Знак"/>
    <w:basedOn w:val="a2"/>
    <w:link w:val="35"/>
    <w:uiPriority w:val="99"/>
    <w:rPr>
      <w:sz w:val="16"/>
      <w:szCs w:val="16"/>
    </w:rPr>
  </w:style>
  <w:style w:type="paragraph" w:styleId="afa">
    <w:name w:val="List"/>
    <w:basedOn w:val="a1"/>
    <w:uiPriority w:val="99"/>
    <w:unhideWhenUsed/>
    <w:pPr>
      <w:ind w:left="360" w:hanging="360"/>
      <w:contextualSpacing/>
    </w:pPr>
  </w:style>
  <w:style w:type="paragraph" w:styleId="27">
    <w:name w:val="List 2"/>
    <w:basedOn w:val="a1"/>
    <w:uiPriority w:val="99"/>
    <w:unhideWhenUsed/>
    <w:pPr>
      <w:ind w:left="720" w:hanging="360"/>
      <w:contextualSpacing/>
    </w:pPr>
  </w:style>
  <w:style w:type="paragraph" w:styleId="37">
    <w:name w:val="List 3"/>
    <w:basedOn w:val="a1"/>
    <w:uiPriority w:val="99"/>
    <w:unhideWhenUsed/>
    <w:pPr>
      <w:ind w:left="1080" w:hanging="360"/>
      <w:contextualSpacing/>
    </w:pPr>
  </w:style>
  <w:style w:type="paragraph" w:styleId="a0">
    <w:name w:val="List Bullet"/>
    <w:basedOn w:val="a1"/>
    <w:uiPriority w:val="99"/>
    <w:unhideWhenUsed/>
    <w:pPr>
      <w:numPr>
        <w:numId w:val="1"/>
      </w:numPr>
      <w:contextualSpacing/>
    </w:pPr>
  </w:style>
  <w:style w:type="paragraph" w:styleId="2">
    <w:name w:val="List Bullet 2"/>
    <w:basedOn w:val="a1"/>
    <w:uiPriority w:val="99"/>
    <w:unhideWhenUsed/>
    <w:pPr>
      <w:numPr>
        <w:numId w:val="2"/>
      </w:numPr>
      <w:contextualSpacing/>
    </w:pPr>
  </w:style>
  <w:style w:type="paragraph" w:styleId="3">
    <w:name w:val="List Bullet 3"/>
    <w:basedOn w:val="a1"/>
    <w:uiPriority w:val="99"/>
    <w:unhideWhenUsed/>
    <w:pPr>
      <w:numPr>
        <w:numId w:val="3"/>
      </w:numPr>
      <w:contextualSpacing/>
    </w:pPr>
  </w:style>
  <w:style w:type="paragraph" w:styleId="a">
    <w:name w:val="List Number"/>
    <w:basedOn w:val="a1"/>
    <w:uiPriority w:val="99"/>
    <w:unhideWhenUsed/>
    <w:pPr>
      <w:numPr>
        <w:numId w:val="5"/>
      </w:numPr>
      <w:contextualSpacing/>
    </w:pPr>
  </w:style>
  <w:style w:type="paragraph" w:styleId="20">
    <w:name w:val="List Number 2"/>
    <w:basedOn w:val="a1"/>
    <w:uiPriority w:val="99"/>
    <w:unhideWhenUsed/>
    <w:pPr>
      <w:numPr>
        <w:numId w:val="6"/>
      </w:numPr>
      <w:contextualSpacing/>
    </w:pPr>
  </w:style>
  <w:style w:type="paragraph" w:styleId="30">
    <w:name w:val="List Number 3"/>
    <w:basedOn w:val="a1"/>
    <w:uiPriority w:val="99"/>
    <w:unhideWhenUsed/>
    <w:pPr>
      <w:numPr>
        <w:numId w:val="7"/>
      </w:numPr>
      <w:contextualSpacing/>
    </w:pPr>
  </w:style>
  <w:style w:type="paragraph" w:styleId="afb">
    <w:name w:val="List Continue"/>
    <w:basedOn w:val="a1"/>
    <w:uiPriority w:val="99"/>
    <w:unhideWhenUsed/>
    <w:pPr>
      <w:ind w:left="360"/>
      <w:contextualSpacing/>
    </w:pPr>
  </w:style>
  <w:style w:type="paragraph" w:styleId="28">
    <w:name w:val="List Continue 2"/>
    <w:basedOn w:val="a1"/>
    <w:uiPriority w:val="99"/>
    <w:unhideWhenUsed/>
    <w:pPr>
      <w:ind w:left="720"/>
      <w:contextualSpacing/>
    </w:pPr>
  </w:style>
  <w:style w:type="paragraph" w:styleId="38">
    <w:name w:val="List Continue 3"/>
    <w:basedOn w:val="a1"/>
    <w:uiPriority w:val="99"/>
    <w:unhideWhenUsed/>
    <w:pPr>
      <w:ind w:left="1080"/>
      <w:contextualSpacing/>
    </w:pPr>
  </w:style>
  <w:style w:type="paragraph" w:styleId="afc">
    <w:name w:val="macro"/>
    <w:link w:val="afd"/>
    <w:uiPriority w:val="99"/>
    <w:unhideWhenUse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d">
    <w:name w:val="Текст макроса Знак"/>
    <w:basedOn w:val="a2"/>
    <w:link w:val="afc"/>
    <w:uiPriority w:val="99"/>
    <w:rPr>
      <w:rFonts w:ascii="Courier" w:hAnsi="Courier"/>
      <w:sz w:val="20"/>
      <w:szCs w:val="20"/>
    </w:rPr>
  </w:style>
  <w:style w:type="paragraph" w:styleId="29">
    <w:name w:val="Quote"/>
    <w:basedOn w:val="a1"/>
    <w:next w:val="a1"/>
    <w:link w:val="2a"/>
    <w:uiPriority w:val="29"/>
    <w:qFormat/>
    <w:rPr>
      <w:i/>
      <w:iCs/>
      <w:color w:val="000000" w:themeColor="text1"/>
    </w:rPr>
  </w:style>
  <w:style w:type="character" w:customStyle="1" w:styleId="2a">
    <w:name w:val="Цитата 2 Знак"/>
    <w:basedOn w:val="a2"/>
    <w:link w:val="29"/>
    <w:uiPriority w:val="29"/>
    <w:rPr>
      <w:i/>
      <w:iCs/>
      <w:color w:val="000000" w:themeColor="text1"/>
    </w:rPr>
  </w:style>
  <w:style w:type="character" w:customStyle="1" w:styleId="40">
    <w:name w:val="Заголовок 4 Знак"/>
    <w:basedOn w:val="a2"/>
    <w:link w:val="4"/>
    <w:uiPriority w:val="9"/>
    <w:semiHidden/>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Pr>
      <w:rFonts w:asciiTheme="majorHAnsi" w:eastAsiaTheme="majorEastAsia" w:hAnsiTheme="majorHAnsi" w:cstheme="majorBidi"/>
      <w:i/>
      <w:iCs/>
      <w:color w:val="404040" w:themeColor="text1" w:themeTint="BF"/>
      <w:sz w:val="20"/>
      <w:szCs w:val="20"/>
    </w:rPr>
  </w:style>
  <w:style w:type="paragraph" w:styleId="a6">
    <w:name w:val="caption"/>
    <w:basedOn w:val="a1"/>
    <w:next w:val="a1"/>
    <w:link w:val="a5"/>
    <w:uiPriority w:val="35"/>
    <w:semiHidden/>
    <w:unhideWhenUsed/>
    <w:qFormat/>
    <w:pPr>
      <w:spacing w:line="240" w:lineRule="auto"/>
    </w:pPr>
    <w:rPr>
      <w:b/>
      <w:bCs/>
      <w:color w:val="4F81BD" w:themeColor="accent1"/>
      <w:sz w:val="18"/>
      <w:szCs w:val="18"/>
    </w:rPr>
  </w:style>
  <w:style w:type="character" w:styleId="afe">
    <w:name w:val="Strong"/>
    <w:basedOn w:val="a2"/>
    <w:uiPriority w:val="22"/>
    <w:qFormat/>
    <w:rPr>
      <w:b/>
      <w:bCs/>
    </w:rPr>
  </w:style>
  <w:style w:type="character" w:styleId="aff">
    <w:name w:val="Emphasis"/>
    <w:basedOn w:val="a2"/>
    <w:uiPriority w:val="20"/>
    <w:qFormat/>
    <w:rPr>
      <w:i/>
      <w:iCs/>
    </w:rPr>
  </w:style>
  <w:style w:type="paragraph" w:styleId="aff0">
    <w:name w:val="Intense Quote"/>
    <w:basedOn w:val="a1"/>
    <w:next w:val="a1"/>
    <w:link w:val="aff1"/>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ff1">
    <w:name w:val="Выделенная цитата Знак"/>
    <w:basedOn w:val="a2"/>
    <w:link w:val="aff0"/>
    <w:uiPriority w:val="30"/>
    <w:rPr>
      <w:b/>
      <w:bCs/>
      <w:i/>
      <w:iCs/>
      <w:color w:val="4F81BD" w:themeColor="accent1"/>
    </w:rPr>
  </w:style>
  <w:style w:type="character" w:styleId="aff2">
    <w:name w:val="Subtle Emphasis"/>
    <w:basedOn w:val="a2"/>
    <w:uiPriority w:val="19"/>
    <w:qFormat/>
    <w:rPr>
      <w:i/>
      <w:iCs/>
      <w:color w:val="808080" w:themeColor="text1" w:themeTint="7F"/>
    </w:rPr>
  </w:style>
  <w:style w:type="character" w:styleId="aff3">
    <w:name w:val="Intense Emphasis"/>
    <w:basedOn w:val="a2"/>
    <w:uiPriority w:val="21"/>
    <w:qFormat/>
    <w:rPr>
      <w:b/>
      <w:bCs/>
      <w:i/>
      <w:iCs/>
      <w:color w:val="4F81BD" w:themeColor="accent1"/>
    </w:rPr>
  </w:style>
  <w:style w:type="character" w:styleId="aff4">
    <w:name w:val="Subtle Reference"/>
    <w:basedOn w:val="a2"/>
    <w:uiPriority w:val="31"/>
    <w:qFormat/>
    <w:rPr>
      <w:smallCaps/>
      <w:color w:val="C0504D" w:themeColor="accent2"/>
      <w:u w:val="single"/>
    </w:rPr>
  </w:style>
  <w:style w:type="character" w:styleId="aff5">
    <w:name w:val="Intense Reference"/>
    <w:basedOn w:val="a2"/>
    <w:uiPriority w:val="32"/>
    <w:qFormat/>
    <w:rPr>
      <w:b/>
      <w:bCs/>
      <w:smallCaps/>
      <w:color w:val="C0504D" w:themeColor="accent2"/>
      <w:spacing w:val="5"/>
      <w:u w:val="single"/>
    </w:rPr>
  </w:style>
  <w:style w:type="character" w:styleId="aff6">
    <w:name w:val="Book Title"/>
    <w:basedOn w:val="a2"/>
    <w:uiPriority w:val="33"/>
    <w:qFormat/>
    <w:rPr>
      <w:b/>
      <w:bCs/>
      <w:smallCaps/>
      <w:spacing w:val="5"/>
    </w:rPr>
  </w:style>
  <w:style w:type="paragraph" w:styleId="aff7">
    <w:name w:val="TOC Heading"/>
    <w:basedOn w:val="1"/>
    <w:next w:val="a1"/>
    <w:uiPriority w:val="39"/>
    <w:semiHidden/>
    <w:unhideWhenUsed/>
    <w:qFormat/>
    <w:pPr>
      <w:outlineLvl w:val="9"/>
    </w:pPr>
  </w:style>
  <w:style w:type="table" w:styleId="aff8">
    <w:name w:val="Table Grid"/>
    <w:basedOn w:val="a3"/>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9">
    <w:name w:val="Light Shading"/>
    <w:basedOn w:val="a3"/>
    <w:uiPriority w:val="6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one" w:sz="4" w:space="0" w:color="000000"/>
          <w:bottom w:val="single" w:sz="8" w:space="0" w:color="000000" w:themeColor="text1"/>
          <w:right w:val="none" w:sz="4" w:space="0" w:color="000000"/>
        </w:tcBorders>
      </w:tcPr>
    </w:tblStylePr>
    <w:tblStylePr w:type="lastRow">
      <w:pPr>
        <w:spacing w:before="0" w:after="0" w:line="240" w:lineRule="auto"/>
      </w:pPr>
      <w:rPr>
        <w:b/>
        <w:bCs/>
      </w:rPr>
      <w:tblPr/>
      <w:tcPr>
        <w:tcBorders>
          <w:top w:val="single" w:sz="8" w:space="0" w:color="000000" w:themeColor="text1"/>
          <w:left w:val="none" w:sz="4" w:space="0" w:color="000000"/>
          <w:bottom w:val="single" w:sz="8" w:space="0" w:color="000000" w:themeColor="text1"/>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C0C0C0" w:themeFill="text1" w:themeFillTint="3F"/>
      </w:tcPr>
    </w:tblStylePr>
    <w:tblStylePr w:type="band1Horz">
      <w:tblPr/>
      <w:tcPr>
        <w:tcBorders>
          <w:left w:val="none" w:sz="4" w:space="0" w:color="000000"/>
          <w:right w:val="none" w:sz="4" w:space="0" w:color="000000"/>
        </w:tcBorders>
        <w:shd w:val="clear" w:color="auto" w:fill="C0C0C0" w:themeFill="text1" w:themeFillTint="3F"/>
      </w:tcPr>
    </w:tblStylePr>
  </w:style>
  <w:style w:type="table" w:styleId="-11">
    <w:name w:val="Light Shading Accent 1"/>
    <w:basedOn w:val="a3"/>
    <w:uiPriority w:val="60"/>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one" w:sz="4" w:space="0" w:color="000000"/>
          <w:bottom w:val="single" w:sz="8" w:space="0" w:color="4F81BD" w:themeColor="accent1"/>
          <w:right w:val="none" w:sz="4" w:space="0" w:color="000000"/>
        </w:tcBorders>
      </w:tcPr>
    </w:tblStylePr>
    <w:tblStylePr w:type="lastRow">
      <w:pPr>
        <w:spacing w:before="0" w:after="0" w:line="240" w:lineRule="auto"/>
      </w:pPr>
      <w:rPr>
        <w:b/>
        <w:bCs/>
      </w:rPr>
      <w:tblPr/>
      <w:tcPr>
        <w:tcBorders>
          <w:top w:val="single" w:sz="8" w:space="0" w:color="4F81BD" w:themeColor="accent1"/>
          <w:left w:val="none" w:sz="4" w:space="0" w:color="000000"/>
          <w:bottom w:val="single" w:sz="8" w:space="0" w:color="4F81BD" w:themeColor="accent1"/>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D3DFEE" w:themeFill="accent1" w:themeFillTint="3F"/>
      </w:tcPr>
    </w:tblStylePr>
    <w:tblStylePr w:type="band1Horz">
      <w:tblPr/>
      <w:tcPr>
        <w:tcBorders>
          <w:left w:val="none" w:sz="4" w:space="0" w:color="000000"/>
          <w:right w:val="none" w:sz="4" w:space="0" w:color="000000"/>
        </w:tcBorders>
        <w:shd w:val="clear" w:color="auto" w:fill="D3DFEE" w:themeFill="accent1" w:themeFillTint="3F"/>
      </w:tcPr>
    </w:tblStylePr>
  </w:style>
  <w:style w:type="table" w:styleId="-21">
    <w:name w:val="Light Shading Accent 2"/>
    <w:basedOn w:val="a3"/>
    <w:uiPriority w:val="60"/>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one" w:sz="4" w:space="0" w:color="000000"/>
          <w:bottom w:val="single" w:sz="8" w:space="0" w:color="C0504D" w:themeColor="accent2"/>
          <w:right w:val="none" w:sz="4" w:space="0" w:color="000000"/>
        </w:tcBorders>
      </w:tcPr>
    </w:tblStylePr>
    <w:tblStylePr w:type="lastRow">
      <w:pPr>
        <w:spacing w:before="0" w:after="0" w:line="240" w:lineRule="auto"/>
      </w:pPr>
      <w:rPr>
        <w:b/>
        <w:bCs/>
      </w:rPr>
      <w:tblPr/>
      <w:tcPr>
        <w:tcBorders>
          <w:top w:val="single" w:sz="8" w:space="0" w:color="C0504D" w:themeColor="accent2"/>
          <w:left w:val="none" w:sz="4" w:space="0" w:color="000000"/>
          <w:bottom w:val="single" w:sz="8" w:space="0" w:color="C0504D" w:themeColor="accent2"/>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EFD3D2" w:themeFill="accent2" w:themeFillTint="3F"/>
      </w:tcPr>
    </w:tblStylePr>
    <w:tblStylePr w:type="band1Horz">
      <w:tblPr/>
      <w:tcPr>
        <w:tcBorders>
          <w:left w:val="none" w:sz="4" w:space="0" w:color="000000"/>
          <w:right w:val="none" w:sz="4" w:space="0" w:color="000000"/>
        </w:tcBorders>
        <w:shd w:val="clear" w:color="auto" w:fill="EFD3D2" w:themeFill="accent2" w:themeFillTint="3F"/>
      </w:tcPr>
    </w:tblStylePr>
  </w:style>
  <w:style w:type="table" w:styleId="-31">
    <w:name w:val="Light Shading Accent 3"/>
    <w:basedOn w:val="a3"/>
    <w:uiPriority w:val="60"/>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one" w:sz="4" w:space="0" w:color="000000"/>
          <w:bottom w:val="single" w:sz="8" w:space="0" w:color="9BBB59" w:themeColor="accent3"/>
          <w:right w:val="none" w:sz="4" w:space="0" w:color="000000"/>
        </w:tcBorders>
      </w:tcPr>
    </w:tblStylePr>
    <w:tblStylePr w:type="lastRow">
      <w:pPr>
        <w:spacing w:before="0" w:after="0" w:line="240" w:lineRule="auto"/>
      </w:pPr>
      <w:rPr>
        <w:b/>
        <w:bCs/>
      </w:rPr>
      <w:tblPr/>
      <w:tcPr>
        <w:tcBorders>
          <w:top w:val="single" w:sz="8" w:space="0" w:color="9BBB59" w:themeColor="accent3"/>
          <w:left w:val="none" w:sz="4" w:space="0" w:color="000000"/>
          <w:bottom w:val="single" w:sz="8" w:space="0" w:color="9BBB59" w:themeColor="accent3"/>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E6EED5" w:themeFill="accent3" w:themeFillTint="3F"/>
      </w:tcPr>
    </w:tblStylePr>
    <w:tblStylePr w:type="band1Horz">
      <w:tblPr/>
      <w:tcPr>
        <w:tcBorders>
          <w:left w:val="none" w:sz="4" w:space="0" w:color="000000"/>
          <w:right w:val="none" w:sz="4" w:space="0" w:color="000000"/>
        </w:tcBorders>
        <w:shd w:val="clear" w:color="auto" w:fill="E6EED5" w:themeFill="accent3" w:themeFillTint="3F"/>
      </w:tcPr>
    </w:tblStylePr>
  </w:style>
  <w:style w:type="table" w:styleId="-41">
    <w:name w:val="Light Shading Accent 4"/>
    <w:basedOn w:val="a3"/>
    <w:uiPriority w:val="60"/>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one" w:sz="4" w:space="0" w:color="000000"/>
          <w:bottom w:val="single" w:sz="8" w:space="0" w:color="8064A2" w:themeColor="accent4"/>
          <w:right w:val="none" w:sz="4" w:space="0" w:color="000000"/>
        </w:tcBorders>
      </w:tcPr>
    </w:tblStylePr>
    <w:tblStylePr w:type="lastRow">
      <w:pPr>
        <w:spacing w:before="0" w:after="0" w:line="240" w:lineRule="auto"/>
      </w:pPr>
      <w:rPr>
        <w:b/>
        <w:bCs/>
      </w:rPr>
      <w:tblPr/>
      <w:tcPr>
        <w:tcBorders>
          <w:top w:val="single" w:sz="8" w:space="0" w:color="8064A2" w:themeColor="accent4"/>
          <w:left w:val="none" w:sz="4" w:space="0" w:color="000000"/>
          <w:bottom w:val="single" w:sz="8" w:space="0" w:color="8064A2" w:themeColor="accent4"/>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DFD8E8" w:themeFill="accent4" w:themeFillTint="3F"/>
      </w:tcPr>
    </w:tblStylePr>
    <w:tblStylePr w:type="band1Horz">
      <w:tblPr/>
      <w:tcPr>
        <w:tcBorders>
          <w:left w:val="none" w:sz="4" w:space="0" w:color="000000"/>
          <w:right w:val="none" w:sz="4" w:space="0" w:color="000000"/>
        </w:tcBorders>
        <w:shd w:val="clear" w:color="auto" w:fill="DFD8E8" w:themeFill="accent4" w:themeFillTint="3F"/>
      </w:tcPr>
    </w:tblStylePr>
  </w:style>
  <w:style w:type="table" w:styleId="-51">
    <w:name w:val="Light Shading Accent 5"/>
    <w:basedOn w:val="a3"/>
    <w:uiPriority w:val="60"/>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one" w:sz="4" w:space="0" w:color="000000"/>
          <w:bottom w:val="single" w:sz="8" w:space="0" w:color="4BACC6" w:themeColor="accent5"/>
          <w:right w:val="none" w:sz="4" w:space="0" w:color="000000"/>
        </w:tcBorders>
      </w:tcPr>
    </w:tblStylePr>
    <w:tblStylePr w:type="lastRow">
      <w:pPr>
        <w:spacing w:before="0" w:after="0" w:line="240" w:lineRule="auto"/>
      </w:pPr>
      <w:rPr>
        <w:b/>
        <w:bCs/>
      </w:rPr>
      <w:tblPr/>
      <w:tcPr>
        <w:tcBorders>
          <w:top w:val="single" w:sz="8" w:space="0" w:color="4BACC6" w:themeColor="accent5"/>
          <w:left w:val="none" w:sz="4" w:space="0" w:color="000000"/>
          <w:bottom w:val="single" w:sz="8" w:space="0" w:color="4BACC6" w:themeColor="accent5"/>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D2EAF1" w:themeFill="accent5" w:themeFillTint="3F"/>
      </w:tcPr>
    </w:tblStylePr>
    <w:tblStylePr w:type="band1Horz">
      <w:tblPr/>
      <w:tcPr>
        <w:tcBorders>
          <w:left w:val="none" w:sz="4" w:space="0" w:color="000000"/>
          <w:right w:val="none" w:sz="4" w:space="0" w:color="000000"/>
        </w:tcBorders>
        <w:shd w:val="clear" w:color="auto" w:fill="D2EAF1" w:themeFill="accent5" w:themeFillTint="3F"/>
      </w:tcPr>
    </w:tblStylePr>
  </w:style>
  <w:style w:type="table" w:styleId="-61">
    <w:name w:val="Light Shading Accent 6"/>
    <w:basedOn w:val="a3"/>
    <w:uiPriority w:val="60"/>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one" w:sz="4" w:space="0" w:color="000000"/>
          <w:bottom w:val="single" w:sz="8" w:space="0" w:color="F79646" w:themeColor="accent6"/>
          <w:right w:val="none" w:sz="4" w:space="0" w:color="000000"/>
        </w:tcBorders>
      </w:tcPr>
    </w:tblStylePr>
    <w:tblStylePr w:type="lastRow">
      <w:pPr>
        <w:spacing w:before="0" w:after="0" w:line="240" w:lineRule="auto"/>
      </w:pPr>
      <w:rPr>
        <w:b/>
        <w:bCs/>
      </w:rPr>
      <w:tblPr/>
      <w:tcPr>
        <w:tcBorders>
          <w:top w:val="single" w:sz="8" w:space="0" w:color="F79646" w:themeColor="accent6"/>
          <w:left w:val="none" w:sz="4" w:space="0" w:color="000000"/>
          <w:bottom w:val="single" w:sz="8" w:space="0" w:color="F79646" w:themeColor="accent6"/>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FDE4D0" w:themeFill="accent6" w:themeFillTint="3F"/>
      </w:tcPr>
    </w:tblStylePr>
    <w:tblStylePr w:type="band1Horz">
      <w:tblPr/>
      <w:tcPr>
        <w:tcBorders>
          <w:left w:val="none" w:sz="4" w:space="0" w:color="000000"/>
          <w:right w:val="none" w:sz="4" w:space="0" w:color="000000"/>
        </w:tcBorders>
        <w:shd w:val="clear" w:color="auto" w:fill="FDE4D0" w:themeFill="accent6" w:themeFillTint="3F"/>
      </w:tcPr>
    </w:tblStylePr>
  </w:style>
  <w:style w:type="table" w:styleId="affa">
    <w:name w:val="Light List"/>
    <w:basedOn w:val="a3"/>
    <w:uiPriority w:val="6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sing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2">
    <w:name w:val="Light List Accent 1"/>
    <w:basedOn w:val="a3"/>
    <w:uiPriority w:val="6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sing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2">
    <w:name w:val="Light List Accent 2"/>
    <w:basedOn w:val="a3"/>
    <w:uiPriority w:val="61"/>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sing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2">
    <w:name w:val="Light List Accent 3"/>
    <w:basedOn w:val="a3"/>
    <w:uiPriority w:val="61"/>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sing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2">
    <w:name w:val="Light List Accent 4"/>
    <w:basedOn w:val="a3"/>
    <w:uiPriority w:val="61"/>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sing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2">
    <w:name w:val="Light List Accent 5"/>
    <w:basedOn w:val="a3"/>
    <w:uiPriority w:val="61"/>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sing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2">
    <w:name w:val="Light List Accent 6"/>
    <w:basedOn w:val="a3"/>
    <w:uiPriority w:val="61"/>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sing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b">
    <w:name w:val="Light Grid"/>
    <w:basedOn w:val="a3"/>
    <w:uiPriority w:val="6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sing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3">
    <w:name w:val="Light Grid Accent 1"/>
    <w:basedOn w:val="a3"/>
    <w:uiPriority w:val="6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sing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3">
    <w:name w:val="Light Grid Accent 2"/>
    <w:basedOn w:val="a3"/>
    <w:uiPriority w:val="62"/>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sing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3">
    <w:name w:val="Light Grid Accent 3"/>
    <w:basedOn w:val="a3"/>
    <w:uiPriority w:val="62"/>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sing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3">
    <w:name w:val="Light Grid Accent 4"/>
    <w:basedOn w:val="a3"/>
    <w:uiPriority w:val="62"/>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sing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3">
    <w:name w:val="Light Grid Accent 5"/>
    <w:basedOn w:val="a3"/>
    <w:uiPriority w:val="62"/>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sing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3">
    <w:name w:val="Light Grid Accent 6"/>
    <w:basedOn w:val="a3"/>
    <w:uiPriority w:val="62"/>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sing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13">
    <w:name w:val="Medium Shading 1"/>
    <w:basedOn w:val="a3"/>
    <w:uiPriority w:val="6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shd w:val="clear" w:color="auto" w:fill="000000" w:themeFill="text1"/>
      </w:tcPr>
    </w:tblStylePr>
    <w:tblStylePr w:type="lastRow">
      <w:pPr>
        <w:spacing w:before="0" w:after="0" w:line="240" w:lineRule="auto"/>
      </w:pPr>
      <w:rPr>
        <w:b/>
        <w:bCs/>
      </w:rPr>
      <w:tblPr/>
      <w:tcPr>
        <w:tcBorders>
          <w:top w:val="sing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
    <w:name w:val="Medium Shading 1 Accent 1"/>
    <w:basedOn w:val="a3"/>
    <w:uiPriority w:val="63"/>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shd w:val="clear" w:color="auto" w:fill="4F81BD" w:themeFill="accent1"/>
      </w:tcPr>
    </w:tblStylePr>
    <w:tblStylePr w:type="lastRow">
      <w:pPr>
        <w:spacing w:before="0" w:after="0" w:line="240" w:lineRule="auto"/>
      </w:pPr>
      <w:rPr>
        <w:b/>
        <w:bCs/>
      </w:rPr>
      <w:tblPr/>
      <w:tcPr>
        <w:tcBorders>
          <w:top w:val="sing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
    <w:name w:val="Medium Shading 1 Accent 2"/>
    <w:basedOn w:val="a3"/>
    <w:uiPriority w:val="63"/>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tcBorders>
        <w:shd w:val="clear" w:color="auto" w:fill="C0504D" w:themeFill="accent2"/>
      </w:tcPr>
    </w:tblStylePr>
    <w:tblStylePr w:type="lastRow">
      <w:pPr>
        <w:spacing w:before="0" w:after="0" w:line="240" w:lineRule="auto"/>
      </w:pPr>
      <w:rPr>
        <w:b/>
        <w:bCs/>
      </w:rPr>
      <w:tblPr/>
      <w:tcPr>
        <w:tcBorders>
          <w:top w:val="sing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
    <w:name w:val="Medium Shading 1 Accent 3"/>
    <w:basedOn w:val="a3"/>
    <w:uiPriority w:val="63"/>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shd w:val="clear" w:color="auto" w:fill="9BBB59" w:themeFill="accent3"/>
      </w:tcPr>
    </w:tblStylePr>
    <w:tblStylePr w:type="lastRow">
      <w:pPr>
        <w:spacing w:before="0" w:after="0" w:line="240" w:lineRule="auto"/>
      </w:pPr>
      <w:rPr>
        <w:b/>
        <w:bCs/>
      </w:rPr>
      <w:tblPr/>
      <w:tcPr>
        <w:tcBorders>
          <w:top w:val="sing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
    <w:name w:val="Medium Shading 1 Accent 4"/>
    <w:basedOn w:val="a3"/>
    <w:uiPriority w:val="63"/>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tcBorders>
        <w:shd w:val="clear" w:color="auto" w:fill="8064A2" w:themeFill="accent4"/>
      </w:tcPr>
    </w:tblStylePr>
    <w:tblStylePr w:type="lastRow">
      <w:pPr>
        <w:spacing w:before="0" w:after="0" w:line="240" w:lineRule="auto"/>
      </w:pPr>
      <w:rPr>
        <w:b/>
        <w:bCs/>
      </w:rPr>
      <w:tblPr/>
      <w:tcPr>
        <w:tcBorders>
          <w:top w:val="sing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
    <w:name w:val="Medium Shading 1 Accent 5"/>
    <w:basedOn w:val="a3"/>
    <w:uiPriority w:val="63"/>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tcBorders>
        <w:shd w:val="clear" w:color="auto" w:fill="4BACC6" w:themeFill="accent5"/>
      </w:tcPr>
    </w:tblStylePr>
    <w:tblStylePr w:type="lastRow">
      <w:pPr>
        <w:spacing w:before="0" w:after="0" w:line="240" w:lineRule="auto"/>
      </w:pPr>
      <w:rPr>
        <w:b/>
        <w:bCs/>
      </w:rPr>
      <w:tblPr/>
      <w:tcPr>
        <w:tcBorders>
          <w:top w:val="sing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
    <w:name w:val="Medium Shading 1 Accent 6"/>
    <w:basedOn w:val="a3"/>
    <w:uiPriority w:val="63"/>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tcBorders>
        <w:shd w:val="clear" w:color="auto" w:fill="F79646" w:themeFill="accent6"/>
      </w:tcPr>
    </w:tblStylePr>
    <w:tblStylePr w:type="lastRow">
      <w:pPr>
        <w:spacing w:before="0" w:after="0" w:line="240" w:lineRule="auto"/>
      </w:pPr>
      <w:rPr>
        <w:b/>
        <w:bCs/>
      </w:rPr>
      <w:tblPr/>
      <w:tcPr>
        <w:tcBorders>
          <w:top w:val="sing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b">
    <w:name w:val="Medium Shading 2"/>
    <w:basedOn w:val="a3"/>
    <w:uiPriority w:val="64"/>
    <w:pPr>
      <w:spacing w:after="0" w:line="240" w:lineRule="auto"/>
    </w:pPr>
    <w:tblPr>
      <w:tblStyleRowBandSize w:val="1"/>
      <w:tblStyleColBandSize w:val="1"/>
      <w:tblBorders>
        <w:top w:val="single" w:sz="18" w:space="0" w:color="000000"/>
        <w:bottom w:val="single" w:sz="18" w:space="0" w:color="000000"/>
      </w:tblBorders>
    </w:tblPr>
    <w:tblStylePr w:type="firstRow">
      <w:pPr>
        <w:spacing w:before="0" w:after="0" w:line="240" w:lineRule="auto"/>
      </w:pPr>
      <w:rPr>
        <w:b/>
        <w:bCs/>
        <w:color w:val="FFFFFF" w:themeColor="background1"/>
      </w:rPr>
      <w:tblPr/>
      <w:tcPr>
        <w:tcBorders>
          <w:top w:val="single" w:sz="18" w:space="0" w:color="000000"/>
          <w:left w:val="none" w:sz="4" w:space="0" w:color="000000"/>
          <w:bottom w:val="single" w:sz="18" w:space="0" w:color="000000"/>
          <w:right w:val="none" w:sz="4" w:space="0" w:color="000000"/>
        </w:tcBorders>
        <w:shd w:val="clear" w:color="auto" w:fill="000000" w:themeFill="text1"/>
      </w:tcPr>
    </w:tblStylePr>
    <w:tblStylePr w:type="lastRow">
      <w:pPr>
        <w:spacing w:before="0" w:after="0" w:line="240" w:lineRule="auto"/>
      </w:pPr>
      <w:rPr>
        <w:color w:val="auto"/>
      </w:rPr>
      <w:tblPr/>
      <w:tcPr>
        <w:tcBorders>
          <w:top w:val="single" w:sz="6" w:space="0" w:color="000000"/>
          <w:left w:val="none" w:sz="4" w:space="0" w:color="000000"/>
          <w:bottom w:val="single" w:sz="18" w:space="0" w:color="000000"/>
          <w:right w:val="none" w:sz="4" w:space="0" w:color="000000"/>
        </w:tcBorders>
        <w:shd w:val="clear" w:color="auto" w:fill="FFFFFF" w:themeFill="background1"/>
      </w:tcPr>
    </w:tblStylePr>
    <w:tblStylePr w:type="firstCol">
      <w:rPr>
        <w:b/>
        <w:bCs/>
        <w:color w:val="FFFFFF" w:themeColor="background1"/>
      </w:rPr>
      <w:tblPr/>
      <w:tcPr>
        <w:tcBorders>
          <w:top w:val="none" w:sz="4" w:space="0" w:color="000000"/>
          <w:left w:val="none" w:sz="4" w:space="0" w:color="000000"/>
          <w:bottom w:val="single" w:sz="18" w:space="0" w:color="000000"/>
          <w:right w:val="none" w:sz="4" w:space="0" w:color="000000"/>
        </w:tcBorders>
        <w:shd w:val="clear" w:color="auto" w:fill="000000" w:themeFill="text1"/>
      </w:tcPr>
    </w:tblStylePr>
    <w:tblStylePr w:type="lastCol">
      <w:rPr>
        <w:b/>
        <w:bCs/>
        <w:color w:val="FFFFFF" w:themeColor="background1"/>
      </w:rPr>
      <w:tblPr/>
      <w:tcPr>
        <w:tcBorders>
          <w:left w:val="none" w:sz="4" w:space="0" w:color="000000"/>
          <w:right w:val="none" w:sz="4" w:space="0" w:color="000000"/>
        </w:tcBorders>
        <w:shd w:val="clear" w:color="auto" w:fill="000000" w:themeFill="text1"/>
      </w:tcPr>
    </w:tblStylePr>
    <w:tblStylePr w:type="band1Vert">
      <w:tblPr/>
      <w:tcPr>
        <w:tcBorders>
          <w:left w:val="none" w:sz="4" w:space="0" w:color="000000"/>
          <w:right w:val="none" w:sz="4" w:space="0" w:color="00000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000000"/>
          <w:left w:val="none" w:sz="4" w:space="0" w:color="000000"/>
          <w:bottom w:val="single" w:sz="18" w:space="0" w:color="000000"/>
          <w:right w:val="none" w:sz="4" w:space="0" w:color="000000"/>
        </w:tcBorders>
      </w:tcPr>
    </w:tblStylePr>
    <w:tblStylePr w:type="nwCell">
      <w:rPr>
        <w:color w:val="FFFFFF" w:themeColor="background1"/>
      </w:rPr>
      <w:tblPr/>
      <w:tcPr>
        <w:tcBorders>
          <w:top w:val="single" w:sz="18" w:space="0" w:color="000000"/>
          <w:left w:val="none" w:sz="4" w:space="0" w:color="000000"/>
          <w:bottom w:val="single" w:sz="18" w:space="0" w:color="000000"/>
          <w:right w:val="none" w:sz="4" w:space="0" w:color="000000"/>
        </w:tcBorders>
      </w:tcPr>
    </w:tblStylePr>
  </w:style>
  <w:style w:type="table" w:styleId="2-1">
    <w:name w:val="Medium Shading 2 Accent 1"/>
    <w:basedOn w:val="a3"/>
    <w:uiPriority w:val="64"/>
    <w:pPr>
      <w:spacing w:after="0" w:line="240" w:lineRule="auto"/>
    </w:pPr>
    <w:tblPr>
      <w:tblStyleRowBandSize w:val="1"/>
      <w:tblStyleColBandSize w:val="1"/>
      <w:tblBorders>
        <w:top w:val="single" w:sz="18" w:space="0" w:color="000000"/>
        <w:bottom w:val="single" w:sz="18" w:space="0" w:color="000000"/>
      </w:tblBorders>
    </w:tblPr>
    <w:tblStylePr w:type="firstRow">
      <w:pPr>
        <w:spacing w:before="0" w:after="0" w:line="240" w:lineRule="auto"/>
      </w:pPr>
      <w:rPr>
        <w:b/>
        <w:bCs/>
        <w:color w:val="FFFFFF" w:themeColor="background1"/>
      </w:rPr>
      <w:tblPr/>
      <w:tcPr>
        <w:tcBorders>
          <w:top w:val="single" w:sz="18" w:space="0" w:color="000000"/>
          <w:left w:val="none" w:sz="4" w:space="0" w:color="000000"/>
          <w:bottom w:val="single" w:sz="18" w:space="0" w:color="000000"/>
          <w:right w:val="none" w:sz="4" w:space="0" w:color="000000"/>
        </w:tcBorders>
        <w:shd w:val="clear" w:color="auto" w:fill="4F81BD" w:themeFill="accent1"/>
      </w:tcPr>
    </w:tblStylePr>
    <w:tblStylePr w:type="lastRow">
      <w:pPr>
        <w:spacing w:before="0" w:after="0" w:line="240" w:lineRule="auto"/>
      </w:pPr>
      <w:rPr>
        <w:color w:val="auto"/>
      </w:rPr>
      <w:tblPr/>
      <w:tcPr>
        <w:tcBorders>
          <w:top w:val="single" w:sz="6" w:space="0" w:color="000000"/>
          <w:left w:val="none" w:sz="4" w:space="0" w:color="000000"/>
          <w:bottom w:val="single" w:sz="18" w:space="0" w:color="000000"/>
          <w:right w:val="none" w:sz="4" w:space="0" w:color="000000"/>
        </w:tcBorders>
        <w:shd w:val="clear" w:color="auto" w:fill="FFFFFF" w:themeFill="background1"/>
      </w:tcPr>
    </w:tblStylePr>
    <w:tblStylePr w:type="firstCol">
      <w:rPr>
        <w:b/>
        <w:bCs/>
        <w:color w:val="FFFFFF" w:themeColor="background1"/>
      </w:rPr>
      <w:tblPr/>
      <w:tcPr>
        <w:tcBorders>
          <w:top w:val="none" w:sz="4" w:space="0" w:color="000000"/>
          <w:left w:val="none" w:sz="4" w:space="0" w:color="000000"/>
          <w:bottom w:val="single" w:sz="18" w:space="0" w:color="000000"/>
          <w:right w:val="none" w:sz="4" w:space="0" w:color="000000"/>
        </w:tcBorders>
        <w:shd w:val="clear" w:color="auto" w:fill="4F81BD" w:themeFill="accent1"/>
      </w:tcPr>
    </w:tblStylePr>
    <w:tblStylePr w:type="lastCol">
      <w:rPr>
        <w:b/>
        <w:bCs/>
        <w:color w:val="FFFFFF" w:themeColor="background1"/>
      </w:rPr>
      <w:tblPr/>
      <w:tcPr>
        <w:tcBorders>
          <w:left w:val="none" w:sz="4" w:space="0" w:color="000000"/>
          <w:right w:val="none" w:sz="4" w:space="0" w:color="000000"/>
        </w:tcBorders>
        <w:shd w:val="clear" w:color="auto" w:fill="4F81BD" w:themeFill="accent1"/>
      </w:tcPr>
    </w:tblStylePr>
    <w:tblStylePr w:type="band1Vert">
      <w:tblPr/>
      <w:tcPr>
        <w:tcBorders>
          <w:left w:val="none" w:sz="4" w:space="0" w:color="000000"/>
          <w:right w:val="none" w:sz="4" w:space="0" w:color="00000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000000"/>
          <w:left w:val="none" w:sz="4" w:space="0" w:color="000000"/>
          <w:bottom w:val="single" w:sz="18" w:space="0" w:color="000000"/>
          <w:right w:val="none" w:sz="4" w:space="0" w:color="000000"/>
        </w:tcBorders>
      </w:tcPr>
    </w:tblStylePr>
    <w:tblStylePr w:type="nwCell">
      <w:rPr>
        <w:color w:val="FFFFFF" w:themeColor="background1"/>
      </w:rPr>
      <w:tblPr/>
      <w:tcPr>
        <w:tcBorders>
          <w:top w:val="single" w:sz="18" w:space="0" w:color="000000"/>
          <w:left w:val="none" w:sz="4" w:space="0" w:color="000000"/>
          <w:bottom w:val="single" w:sz="18" w:space="0" w:color="000000"/>
          <w:right w:val="none" w:sz="4" w:space="0" w:color="000000"/>
        </w:tcBorders>
      </w:tcPr>
    </w:tblStylePr>
  </w:style>
  <w:style w:type="table" w:styleId="2-2">
    <w:name w:val="Medium Shading 2 Accent 2"/>
    <w:basedOn w:val="a3"/>
    <w:uiPriority w:val="64"/>
    <w:pPr>
      <w:spacing w:after="0" w:line="240" w:lineRule="auto"/>
    </w:pPr>
    <w:tblPr>
      <w:tblStyleRowBandSize w:val="1"/>
      <w:tblStyleColBandSize w:val="1"/>
      <w:tblBorders>
        <w:top w:val="single" w:sz="18" w:space="0" w:color="000000"/>
        <w:bottom w:val="single" w:sz="18" w:space="0" w:color="000000"/>
      </w:tblBorders>
    </w:tblPr>
    <w:tblStylePr w:type="firstRow">
      <w:pPr>
        <w:spacing w:before="0" w:after="0" w:line="240" w:lineRule="auto"/>
      </w:pPr>
      <w:rPr>
        <w:b/>
        <w:bCs/>
        <w:color w:val="FFFFFF" w:themeColor="background1"/>
      </w:rPr>
      <w:tblPr/>
      <w:tcPr>
        <w:tcBorders>
          <w:top w:val="single" w:sz="18" w:space="0" w:color="000000"/>
          <w:left w:val="none" w:sz="4" w:space="0" w:color="000000"/>
          <w:bottom w:val="single" w:sz="18" w:space="0" w:color="000000"/>
          <w:right w:val="none" w:sz="4" w:space="0" w:color="000000"/>
        </w:tcBorders>
        <w:shd w:val="clear" w:color="auto" w:fill="C0504D" w:themeFill="accent2"/>
      </w:tcPr>
    </w:tblStylePr>
    <w:tblStylePr w:type="lastRow">
      <w:pPr>
        <w:spacing w:before="0" w:after="0" w:line="240" w:lineRule="auto"/>
      </w:pPr>
      <w:rPr>
        <w:color w:val="auto"/>
      </w:rPr>
      <w:tblPr/>
      <w:tcPr>
        <w:tcBorders>
          <w:top w:val="single" w:sz="6" w:space="0" w:color="000000"/>
          <w:left w:val="none" w:sz="4" w:space="0" w:color="000000"/>
          <w:bottom w:val="single" w:sz="18" w:space="0" w:color="000000"/>
          <w:right w:val="none" w:sz="4" w:space="0" w:color="000000"/>
        </w:tcBorders>
        <w:shd w:val="clear" w:color="auto" w:fill="FFFFFF" w:themeFill="background1"/>
      </w:tcPr>
    </w:tblStylePr>
    <w:tblStylePr w:type="firstCol">
      <w:rPr>
        <w:b/>
        <w:bCs/>
        <w:color w:val="FFFFFF" w:themeColor="background1"/>
      </w:rPr>
      <w:tblPr/>
      <w:tcPr>
        <w:tcBorders>
          <w:top w:val="none" w:sz="4" w:space="0" w:color="000000"/>
          <w:left w:val="none" w:sz="4" w:space="0" w:color="000000"/>
          <w:bottom w:val="single" w:sz="18" w:space="0" w:color="000000"/>
          <w:right w:val="none" w:sz="4" w:space="0" w:color="000000"/>
        </w:tcBorders>
        <w:shd w:val="clear" w:color="auto" w:fill="C0504D" w:themeFill="accent2"/>
      </w:tcPr>
    </w:tblStylePr>
    <w:tblStylePr w:type="lastCol">
      <w:rPr>
        <w:b/>
        <w:bCs/>
        <w:color w:val="FFFFFF" w:themeColor="background1"/>
      </w:rPr>
      <w:tblPr/>
      <w:tcPr>
        <w:tcBorders>
          <w:left w:val="none" w:sz="4" w:space="0" w:color="000000"/>
          <w:right w:val="none" w:sz="4" w:space="0" w:color="000000"/>
        </w:tcBorders>
        <w:shd w:val="clear" w:color="auto" w:fill="C0504D" w:themeFill="accent2"/>
      </w:tcPr>
    </w:tblStylePr>
    <w:tblStylePr w:type="band1Vert">
      <w:tblPr/>
      <w:tcPr>
        <w:tcBorders>
          <w:left w:val="none" w:sz="4" w:space="0" w:color="000000"/>
          <w:right w:val="none" w:sz="4" w:space="0" w:color="00000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000000"/>
          <w:left w:val="none" w:sz="4" w:space="0" w:color="000000"/>
          <w:bottom w:val="single" w:sz="18" w:space="0" w:color="000000"/>
          <w:right w:val="none" w:sz="4" w:space="0" w:color="000000"/>
        </w:tcBorders>
      </w:tcPr>
    </w:tblStylePr>
    <w:tblStylePr w:type="nwCell">
      <w:rPr>
        <w:color w:val="FFFFFF" w:themeColor="background1"/>
      </w:rPr>
      <w:tblPr/>
      <w:tcPr>
        <w:tcBorders>
          <w:top w:val="single" w:sz="18" w:space="0" w:color="000000"/>
          <w:left w:val="none" w:sz="4" w:space="0" w:color="000000"/>
          <w:bottom w:val="single" w:sz="18" w:space="0" w:color="000000"/>
          <w:right w:val="none" w:sz="4" w:space="0" w:color="000000"/>
        </w:tcBorders>
      </w:tcPr>
    </w:tblStylePr>
  </w:style>
  <w:style w:type="table" w:styleId="2-3">
    <w:name w:val="Medium Shading 2 Accent 3"/>
    <w:basedOn w:val="a3"/>
    <w:uiPriority w:val="64"/>
    <w:pPr>
      <w:spacing w:after="0" w:line="240" w:lineRule="auto"/>
    </w:pPr>
    <w:tblPr>
      <w:tblStyleRowBandSize w:val="1"/>
      <w:tblStyleColBandSize w:val="1"/>
      <w:tblBorders>
        <w:top w:val="single" w:sz="18" w:space="0" w:color="000000"/>
        <w:bottom w:val="single" w:sz="18" w:space="0" w:color="000000"/>
      </w:tblBorders>
    </w:tblPr>
    <w:tblStylePr w:type="firstRow">
      <w:pPr>
        <w:spacing w:before="0" w:after="0" w:line="240" w:lineRule="auto"/>
      </w:pPr>
      <w:rPr>
        <w:b/>
        <w:bCs/>
        <w:color w:val="FFFFFF" w:themeColor="background1"/>
      </w:rPr>
      <w:tblPr/>
      <w:tcPr>
        <w:tcBorders>
          <w:top w:val="single" w:sz="18" w:space="0" w:color="000000"/>
          <w:left w:val="none" w:sz="4" w:space="0" w:color="000000"/>
          <w:bottom w:val="single" w:sz="18" w:space="0" w:color="000000"/>
          <w:right w:val="none" w:sz="4" w:space="0" w:color="000000"/>
        </w:tcBorders>
        <w:shd w:val="clear" w:color="auto" w:fill="9BBB59" w:themeFill="accent3"/>
      </w:tcPr>
    </w:tblStylePr>
    <w:tblStylePr w:type="lastRow">
      <w:pPr>
        <w:spacing w:before="0" w:after="0" w:line="240" w:lineRule="auto"/>
      </w:pPr>
      <w:rPr>
        <w:color w:val="auto"/>
      </w:rPr>
      <w:tblPr/>
      <w:tcPr>
        <w:tcBorders>
          <w:top w:val="single" w:sz="6" w:space="0" w:color="000000"/>
          <w:left w:val="none" w:sz="4" w:space="0" w:color="000000"/>
          <w:bottom w:val="single" w:sz="18" w:space="0" w:color="000000"/>
          <w:right w:val="none" w:sz="4" w:space="0" w:color="000000"/>
        </w:tcBorders>
        <w:shd w:val="clear" w:color="auto" w:fill="FFFFFF" w:themeFill="background1"/>
      </w:tcPr>
    </w:tblStylePr>
    <w:tblStylePr w:type="firstCol">
      <w:rPr>
        <w:b/>
        <w:bCs/>
        <w:color w:val="FFFFFF" w:themeColor="background1"/>
      </w:rPr>
      <w:tblPr/>
      <w:tcPr>
        <w:tcBorders>
          <w:top w:val="none" w:sz="4" w:space="0" w:color="000000"/>
          <w:left w:val="none" w:sz="4" w:space="0" w:color="000000"/>
          <w:bottom w:val="single" w:sz="18" w:space="0" w:color="000000"/>
          <w:right w:val="none" w:sz="4" w:space="0" w:color="000000"/>
        </w:tcBorders>
        <w:shd w:val="clear" w:color="auto" w:fill="9BBB59" w:themeFill="accent3"/>
      </w:tcPr>
    </w:tblStylePr>
    <w:tblStylePr w:type="lastCol">
      <w:rPr>
        <w:b/>
        <w:bCs/>
        <w:color w:val="FFFFFF" w:themeColor="background1"/>
      </w:rPr>
      <w:tblPr/>
      <w:tcPr>
        <w:tcBorders>
          <w:left w:val="none" w:sz="4" w:space="0" w:color="000000"/>
          <w:right w:val="none" w:sz="4" w:space="0" w:color="000000"/>
        </w:tcBorders>
        <w:shd w:val="clear" w:color="auto" w:fill="9BBB59" w:themeFill="accent3"/>
      </w:tcPr>
    </w:tblStylePr>
    <w:tblStylePr w:type="band1Vert">
      <w:tblPr/>
      <w:tcPr>
        <w:tcBorders>
          <w:left w:val="none" w:sz="4" w:space="0" w:color="000000"/>
          <w:right w:val="none" w:sz="4" w:space="0" w:color="00000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000000"/>
          <w:left w:val="none" w:sz="4" w:space="0" w:color="000000"/>
          <w:bottom w:val="single" w:sz="18" w:space="0" w:color="000000"/>
          <w:right w:val="none" w:sz="4" w:space="0" w:color="000000"/>
        </w:tcBorders>
      </w:tcPr>
    </w:tblStylePr>
    <w:tblStylePr w:type="nwCell">
      <w:rPr>
        <w:color w:val="FFFFFF" w:themeColor="background1"/>
      </w:rPr>
      <w:tblPr/>
      <w:tcPr>
        <w:tcBorders>
          <w:top w:val="single" w:sz="18" w:space="0" w:color="000000"/>
          <w:left w:val="none" w:sz="4" w:space="0" w:color="000000"/>
          <w:bottom w:val="single" w:sz="18" w:space="0" w:color="000000"/>
          <w:right w:val="none" w:sz="4" w:space="0" w:color="000000"/>
        </w:tcBorders>
      </w:tcPr>
    </w:tblStylePr>
  </w:style>
  <w:style w:type="table" w:styleId="2-4">
    <w:name w:val="Medium Shading 2 Accent 4"/>
    <w:basedOn w:val="a3"/>
    <w:uiPriority w:val="64"/>
    <w:pPr>
      <w:spacing w:after="0" w:line="240" w:lineRule="auto"/>
    </w:pPr>
    <w:tblPr>
      <w:tblStyleRowBandSize w:val="1"/>
      <w:tblStyleColBandSize w:val="1"/>
      <w:tblBorders>
        <w:top w:val="single" w:sz="18" w:space="0" w:color="000000"/>
        <w:bottom w:val="single" w:sz="18" w:space="0" w:color="000000"/>
      </w:tblBorders>
    </w:tblPr>
    <w:tblStylePr w:type="firstRow">
      <w:pPr>
        <w:spacing w:before="0" w:after="0" w:line="240" w:lineRule="auto"/>
      </w:pPr>
      <w:rPr>
        <w:b/>
        <w:bCs/>
        <w:color w:val="FFFFFF" w:themeColor="background1"/>
      </w:rPr>
      <w:tblPr/>
      <w:tcPr>
        <w:tcBorders>
          <w:top w:val="single" w:sz="18" w:space="0" w:color="000000"/>
          <w:left w:val="none" w:sz="4" w:space="0" w:color="000000"/>
          <w:bottom w:val="single" w:sz="18" w:space="0" w:color="000000"/>
          <w:right w:val="none" w:sz="4" w:space="0" w:color="000000"/>
        </w:tcBorders>
        <w:shd w:val="clear" w:color="auto" w:fill="8064A2" w:themeFill="accent4"/>
      </w:tcPr>
    </w:tblStylePr>
    <w:tblStylePr w:type="lastRow">
      <w:pPr>
        <w:spacing w:before="0" w:after="0" w:line="240" w:lineRule="auto"/>
      </w:pPr>
      <w:rPr>
        <w:color w:val="auto"/>
      </w:rPr>
      <w:tblPr/>
      <w:tcPr>
        <w:tcBorders>
          <w:top w:val="single" w:sz="6" w:space="0" w:color="000000"/>
          <w:left w:val="none" w:sz="4" w:space="0" w:color="000000"/>
          <w:bottom w:val="single" w:sz="18" w:space="0" w:color="000000"/>
          <w:right w:val="none" w:sz="4" w:space="0" w:color="000000"/>
        </w:tcBorders>
        <w:shd w:val="clear" w:color="auto" w:fill="FFFFFF" w:themeFill="background1"/>
      </w:tcPr>
    </w:tblStylePr>
    <w:tblStylePr w:type="firstCol">
      <w:rPr>
        <w:b/>
        <w:bCs/>
        <w:color w:val="FFFFFF" w:themeColor="background1"/>
      </w:rPr>
      <w:tblPr/>
      <w:tcPr>
        <w:tcBorders>
          <w:top w:val="none" w:sz="4" w:space="0" w:color="000000"/>
          <w:left w:val="none" w:sz="4" w:space="0" w:color="000000"/>
          <w:bottom w:val="single" w:sz="18" w:space="0" w:color="000000"/>
          <w:right w:val="none" w:sz="4" w:space="0" w:color="000000"/>
        </w:tcBorders>
        <w:shd w:val="clear" w:color="auto" w:fill="8064A2" w:themeFill="accent4"/>
      </w:tcPr>
    </w:tblStylePr>
    <w:tblStylePr w:type="lastCol">
      <w:rPr>
        <w:b/>
        <w:bCs/>
        <w:color w:val="FFFFFF" w:themeColor="background1"/>
      </w:rPr>
      <w:tblPr/>
      <w:tcPr>
        <w:tcBorders>
          <w:left w:val="none" w:sz="4" w:space="0" w:color="000000"/>
          <w:right w:val="none" w:sz="4" w:space="0" w:color="000000"/>
        </w:tcBorders>
        <w:shd w:val="clear" w:color="auto" w:fill="8064A2" w:themeFill="accent4"/>
      </w:tcPr>
    </w:tblStylePr>
    <w:tblStylePr w:type="band1Vert">
      <w:tblPr/>
      <w:tcPr>
        <w:tcBorders>
          <w:left w:val="none" w:sz="4" w:space="0" w:color="000000"/>
          <w:right w:val="none" w:sz="4" w:space="0" w:color="00000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000000"/>
          <w:left w:val="none" w:sz="4" w:space="0" w:color="000000"/>
          <w:bottom w:val="single" w:sz="18" w:space="0" w:color="000000"/>
          <w:right w:val="none" w:sz="4" w:space="0" w:color="000000"/>
        </w:tcBorders>
      </w:tcPr>
    </w:tblStylePr>
    <w:tblStylePr w:type="nwCell">
      <w:rPr>
        <w:color w:val="FFFFFF" w:themeColor="background1"/>
      </w:rPr>
      <w:tblPr/>
      <w:tcPr>
        <w:tcBorders>
          <w:top w:val="single" w:sz="18" w:space="0" w:color="000000"/>
          <w:left w:val="none" w:sz="4" w:space="0" w:color="000000"/>
          <w:bottom w:val="single" w:sz="18" w:space="0" w:color="000000"/>
          <w:right w:val="none" w:sz="4" w:space="0" w:color="000000"/>
        </w:tcBorders>
      </w:tcPr>
    </w:tblStylePr>
  </w:style>
  <w:style w:type="table" w:styleId="2-5">
    <w:name w:val="Medium Shading 2 Accent 5"/>
    <w:basedOn w:val="a3"/>
    <w:uiPriority w:val="64"/>
    <w:pPr>
      <w:spacing w:after="0" w:line="240" w:lineRule="auto"/>
    </w:pPr>
    <w:tblPr>
      <w:tblStyleRowBandSize w:val="1"/>
      <w:tblStyleColBandSize w:val="1"/>
      <w:tblBorders>
        <w:top w:val="single" w:sz="18" w:space="0" w:color="000000"/>
        <w:bottom w:val="single" w:sz="18" w:space="0" w:color="000000"/>
      </w:tblBorders>
    </w:tblPr>
    <w:tblStylePr w:type="firstRow">
      <w:pPr>
        <w:spacing w:before="0" w:after="0" w:line="240" w:lineRule="auto"/>
      </w:pPr>
      <w:rPr>
        <w:b/>
        <w:bCs/>
        <w:color w:val="FFFFFF" w:themeColor="background1"/>
      </w:rPr>
      <w:tblPr/>
      <w:tcPr>
        <w:tcBorders>
          <w:top w:val="single" w:sz="18" w:space="0" w:color="000000"/>
          <w:left w:val="none" w:sz="4" w:space="0" w:color="000000"/>
          <w:bottom w:val="single" w:sz="18" w:space="0" w:color="000000"/>
          <w:right w:val="none" w:sz="4" w:space="0" w:color="000000"/>
        </w:tcBorders>
        <w:shd w:val="clear" w:color="auto" w:fill="4BACC6" w:themeFill="accent5"/>
      </w:tcPr>
    </w:tblStylePr>
    <w:tblStylePr w:type="lastRow">
      <w:pPr>
        <w:spacing w:before="0" w:after="0" w:line="240" w:lineRule="auto"/>
      </w:pPr>
      <w:rPr>
        <w:color w:val="auto"/>
      </w:rPr>
      <w:tblPr/>
      <w:tcPr>
        <w:tcBorders>
          <w:top w:val="single" w:sz="6" w:space="0" w:color="000000"/>
          <w:left w:val="none" w:sz="4" w:space="0" w:color="000000"/>
          <w:bottom w:val="single" w:sz="18" w:space="0" w:color="000000"/>
          <w:right w:val="none" w:sz="4" w:space="0" w:color="000000"/>
        </w:tcBorders>
        <w:shd w:val="clear" w:color="auto" w:fill="FFFFFF" w:themeFill="background1"/>
      </w:tcPr>
    </w:tblStylePr>
    <w:tblStylePr w:type="firstCol">
      <w:rPr>
        <w:b/>
        <w:bCs/>
        <w:color w:val="FFFFFF" w:themeColor="background1"/>
      </w:rPr>
      <w:tblPr/>
      <w:tcPr>
        <w:tcBorders>
          <w:top w:val="none" w:sz="4" w:space="0" w:color="000000"/>
          <w:left w:val="none" w:sz="4" w:space="0" w:color="000000"/>
          <w:bottom w:val="single" w:sz="18" w:space="0" w:color="000000"/>
          <w:right w:val="none" w:sz="4" w:space="0" w:color="000000"/>
        </w:tcBorders>
        <w:shd w:val="clear" w:color="auto" w:fill="4BACC6" w:themeFill="accent5"/>
      </w:tcPr>
    </w:tblStylePr>
    <w:tblStylePr w:type="lastCol">
      <w:rPr>
        <w:b/>
        <w:bCs/>
        <w:color w:val="FFFFFF" w:themeColor="background1"/>
      </w:rPr>
      <w:tblPr/>
      <w:tcPr>
        <w:tcBorders>
          <w:left w:val="none" w:sz="4" w:space="0" w:color="000000"/>
          <w:right w:val="none" w:sz="4" w:space="0" w:color="000000"/>
        </w:tcBorders>
        <w:shd w:val="clear" w:color="auto" w:fill="4BACC6" w:themeFill="accent5"/>
      </w:tcPr>
    </w:tblStylePr>
    <w:tblStylePr w:type="band1Vert">
      <w:tblPr/>
      <w:tcPr>
        <w:tcBorders>
          <w:left w:val="none" w:sz="4" w:space="0" w:color="000000"/>
          <w:right w:val="none" w:sz="4" w:space="0" w:color="00000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000000"/>
          <w:left w:val="none" w:sz="4" w:space="0" w:color="000000"/>
          <w:bottom w:val="single" w:sz="18" w:space="0" w:color="000000"/>
          <w:right w:val="none" w:sz="4" w:space="0" w:color="000000"/>
        </w:tcBorders>
      </w:tcPr>
    </w:tblStylePr>
    <w:tblStylePr w:type="nwCell">
      <w:rPr>
        <w:color w:val="FFFFFF" w:themeColor="background1"/>
      </w:rPr>
      <w:tblPr/>
      <w:tcPr>
        <w:tcBorders>
          <w:top w:val="single" w:sz="18" w:space="0" w:color="000000"/>
          <w:left w:val="none" w:sz="4" w:space="0" w:color="000000"/>
          <w:bottom w:val="single" w:sz="18" w:space="0" w:color="000000"/>
          <w:right w:val="none" w:sz="4" w:space="0" w:color="000000"/>
        </w:tcBorders>
      </w:tcPr>
    </w:tblStylePr>
  </w:style>
  <w:style w:type="table" w:styleId="2-6">
    <w:name w:val="Medium Shading 2 Accent 6"/>
    <w:basedOn w:val="a3"/>
    <w:uiPriority w:val="64"/>
    <w:pPr>
      <w:spacing w:after="0" w:line="240" w:lineRule="auto"/>
    </w:pPr>
    <w:tblPr>
      <w:tblStyleRowBandSize w:val="1"/>
      <w:tblStyleColBandSize w:val="1"/>
      <w:tblBorders>
        <w:top w:val="single" w:sz="18" w:space="0" w:color="000000"/>
        <w:bottom w:val="single" w:sz="18" w:space="0" w:color="000000"/>
      </w:tblBorders>
    </w:tblPr>
    <w:tblStylePr w:type="firstRow">
      <w:pPr>
        <w:spacing w:before="0" w:after="0" w:line="240" w:lineRule="auto"/>
      </w:pPr>
      <w:rPr>
        <w:b/>
        <w:bCs/>
        <w:color w:val="FFFFFF" w:themeColor="background1"/>
      </w:rPr>
      <w:tblPr/>
      <w:tcPr>
        <w:tcBorders>
          <w:top w:val="single" w:sz="18" w:space="0" w:color="000000"/>
          <w:left w:val="none" w:sz="4" w:space="0" w:color="000000"/>
          <w:bottom w:val="single" w:sz="18" w:space="0" w:color="000000"/>
          <w:right w:val="none" w:sz="4" w:space="0" w:color="000000"/>
        </w:tcBorders>
        <w:shd w:val="clear" w:color="auto" w:fill="F79646" w:themeFill="accent6"/>
      </w:tcPr>
    </w:tblStylePr>
    <w:tblStylePr w:type="lastRow">
      <w:pPr>
        <w:spacing w:before="0" w:after="0" w:line="240" w:lineRule="auto"/>
      </w:pPr>
      <w:rPr>
        <w:color w:val="auto"/>
      </w:rPr>
      <w:tblPr/>
      <w:tcPr>
        <w:tcBorders>
          <w:top w:val="single" w:sz="6" w:space="0" w:color="000000"/>
          <w:left w:val="none" w:sz="4" w:space="0" w:color="000000"/>
          <w:bottom w:val="single" w:sz="18" w:space="0" w:color="000000"/>
          <w:right w:val="none" w:sz="4" w:space="0" w:color="000000"/>
        </w:tcBorders>
        <w:shd w:val="clear" w:color="auto" w:fill="FFFFFF" w:themeFill="background1"/>
      </w:tcPr>
    </w:tblStylePr>
    <w:tblStylePr w:type="firstCol">
      <w:rPr>
        <w:b/>
        <w:bCs/>
        <w:color w:val="FFFFFF" w:themeColor="background1"/>
      </w:rPr>
      <w:tblPr/>
      <w:tcPr>
        <w:tcBorders>
          <w:top w:val="none" w:sz="4" w:space="0" w:color="000000"/>
          <w:left w:val="none" w:sz="4" w:space="0" w:color="000000"/>
          <w:bottom w:val="single" w:sz="18" w:space="0" w:color="000000"/>
          <w:right w:val="none" w:sz="4" w:space="0" w:color="000000"/>
        </w:tcBorders>
        <w:shd w:val="clear" w:color="auto" w:fill="F79646" w:themeFill="accent6"/>
      </w:tcPr>
    </w:tblStylePr>
    <w:tblStylePr w:type="lastCol">
      <w:rPr>
        <w:b/>
        <w:bCs/>
        <w:color w:val="FFFFFF" w:themeColor="background1"/>
      </w:rPr>
      <w:tblPr/>
      <w:tcPr>
        <w:tcBorders>
          <w:left w:val="none" w:sz="4" w:space="0" w:color="000000"/>
          <w:right w:val="none" w:sz="4" w:space="0" w:color="000000"/>
        </w:tcBorders>
        <w:shd w:val="clear" w:color="auto" w:fill="F79646" w:themeFill="accent6"/>
      </w:tcPr>
    </w:tblStylePr>
    <w:tblStylePr w:type="band1Vert">
      <w:tblPr/>
      <w:tcPr>
        <w:tcBorders>
          <w:left w:val="none" w:sz="4" w:space="0" w:color="000000"/>
          <w:right w:val="none" w:sz="4" w:space="0" w:color="00000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000000"/>
          <w:left w:val="none" w:sz="4" w:space="0" w:color="000000"/>
          <w:bottom w:val="single" w:sz="18" w:space="0" w:color="000000"/>
          <w:right w:val="none" w:sz="4" w:space="0" w:color="000000"/>
        </w:tcBorders>
      </w:tcPr>
    </w:tblStylePr>
    <w:tblStylePr w:type="nwCell">
      <w:rPr>
        <w:color w:val="FFFFFF" w:themeColor="background1"/>
      </w:rPr>
      <w:tblPr/>
      <w:tcPr>
        <w:tcBorders>
          <w:top w:val="single" w:sz="18" w:space="0" w:color="000000"/>
          <w:left w:val="none" w:sz="4" w:space="0" w:color="000000"/>
          <w:bottom w:val="single" w:sz="18" w:space="0" w:color="000000"/>
          <w:right w:val="none" w:sz="4" w:space="0" w:color="000000"/>
        </w:tcBorders>
      </w:tcPr>
    </w:tblStylePr>
  </w:style>
  <w:style w:type="table" w:styleId="14">
    <w:name w:val="Medium List 1"/>
    <w:basedOn w:val="a3"/>
    <w:uiPriority w:val="6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one" w:sz="4" w:space="0" w:color="000000"/>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one" w:sz="4" w:space="0" w:color="000000"/>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one" w:sz="4" w:space="0" w:color="000000"/>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one" w:sz="4" w:space="0" w:color="000000"/>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one" w:sz="4" w:space="0" w:color="000000"/>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one" w:sz="4" w:space="0" w:color="000000"/>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one" w:sz="4" w:space="0" w:color="000000"/>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c">
    <w:name w:val="Medium List 2"/>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one" w:sz="4" w:space="0" w:color="000000"/>
          <w:left w:val="none" w:sz="4" w:space="0" w:color="000000"/>
          <w:bottom w:val="single" w:sz="24" w:space="0" w:color="000000" w:themeColor="text1"/>
          <w:right w:val="none" w:sz="4" w:space="0" w:color="000000"/>
        </w:tcBorders>
        <w:shd w:val="clear" w:color="auto" w:fill="FFFFFF" w:themeFill="background1"/>
      </w:tcPr>
    </w:tblStylePr>
    <w:tblStylePr w:type="lastRow">
      <w:tblPr/>
      <w:tcPr>
        <w:tcBorders>
          <w:top w:val="single" w:sz="8" w:space="0" w:color="000000" w:themeColor="text1"/>
          <w:left w:val="none" w:sz="4" w:space="0" w:color="000000"/>
          <w:bottom w:val="none" w:sz="4" w:space="0" w:color="000000"/>
          <w:right w:val="none" w:sz="4" w:space="0" w:color="000000"/>
        </w:tcBorders>
        <w:shd w:val="clear" w:color="auto" w:fill="FFFFFF" w:themeFill="background1"/>
      </w:tcPr>
    </w:tblStylePr>
    <w:tblStylePr w:type="firstCol">
      <w:tblPr/>
      <w:tcPr>
        <w:tcBorders>
          <w:top w:val="none" w:sz="4" w:space="0" w:color="000000"/>
          <w:left w:val="none" w:sz="4" w:space="0" w:color="000000"/>
          <w:bottom w:val="none" w:sz="4" w:space="0" w:color="000000"/>
          <w:right w:val="single" w:sz="8" w:space="0" w:color="000000" w:themeColor="text1"/>
        </w:tcBorders>
        <w:shd w:val="clear" w:color="auto" w:fill="FFFFFF" w:themeFill="background1"/>
      </w:tcPr>
    </w:tblStylePr>
    <w:tblStylePr w:type="lastCol">
      <w:tblPr/>
      <w:tcPr>
        <w:tcBorders>
          <w:top w:val="none" w:sz="4" w:space="0" w:color="000000"/>
          <w:left w:val="single" w:sz="8" w:space="0" w:color="000000" w:themeColor="text1"/>
          <w:bottom w:val="none" w:sz="4" w:space="0" w:color="000000"/>
          <w:right w:val="none" w:sz="4" w:space="0" w:color="000000"/>
        </w:tcBorders>
        <w:shd w:val="clear" w:color="auto" w:fill="FFFFFF" w:themeFill="background1"/>
      </w:tcPr>
    </w:tblStylePr>
    <w:tblStylePr w:type="band1Vert">
      <w:tblPr/>
      <w:tcPr>
        <w:tcBorders>
          <w:left w:val="none" w:sz="4" w:space="0" w:color="000000"/>
          <w:right w:val="none" w:sz="4" w:space="0" w:color="000000"/>
        </w:tcBorders>
        <w:shd w:val="clear" w:color="auto" w:fill="C0C0C0" w:themeFill="text1" w:themeFillTint="3F"/>
      </w:tcPr>
    </w:tblStylePr>
    <w:tblStylePr w:type="band1Horz">
      <w:tblPr/>
      <w:tcPr>
        <w:tcBorders>
          <w:top w:val="none" w:sz="4" w:space="0" w:color="000000"/>
          <w:bottom w:val="none" w:sz="4" w:space="0" w:color="000000"/>
        </w:tcBorders>
        <w:shd w:val="clear" w:color="auto" w:fill="C0C0C0" w:themeFill="text1" w:themeFillTint="3F"/>
      </w:tcPr>
    </w:tblStylePr>
    <w:tblStylePr w:type="nwCell">
      <w:tblPr/>
      <w:tcPr>
        <w:shd w:val="clear" w:color="auto" w:fill="FFFFFF" w:themeFill="background1"/>
      </w:tcPr>
    </w:tblStylePr>
    <w:tblStylePr w:type="swCell">
      <w:tblPr/>
      <w:tcPr>
        <w:tcBorders>
          <w:top w:val="none" w:sz="4" w:space="0" w:color="000000"/>
        </w:tcBorders>
      </w:tcPr>
    </w:tblStylePr>
  </w:style>
  <w:style w:type="table" w:styleId="2-10">
    <w:name w:val="Medium List 2 Accent 1"/>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one" w:sz="4" w:space="0" w:color="000000"/>
          <w:left w:val="none" w:sz="4" w:space="0" w:color="000000"/>
          <w:bottom w:val="single" w:sz="24" w:space="0" w:color="4F81BD" w:themeColor="accent1"/>
          <w:right w:val="none" w:sz="4" w:space="0" w:color="000000"/>
        </w:tcBorders>
        <w:shd w:val="clear" w:color="auto" w:fill="FFFFFF" w:themeFill="background1"/>
      </w:tcPr>
    </w:tblStylePr>
    <w:tblStylePr w:type="lastRow">
      <w:tblPr/>
      <w:tcPr>
        <w:tcBorders>
          <w:top w:val="single" w:sz="8" w:space="0" w:color="4F81BD" w:themeColor="accent1"/>
          <w:left w:val="none" w:sz="4" w:space="0" w:color="000000"/>
          <w:bottom w:val="none" w:sz="4" w:space="0" w:color="000000"/>
          <w:right w:val="none" w:sz="4" w:space="0" w:color="000000"/>
        </w:tcBorders>
        <w:shd w:val="clear" w:color="auto" w:fill="FFFFFF" w:themeFill="background1"/>
      </w:tcPr>
    </w:tblStylePr>
    <w:tblStylePr w:type="firstCol">
      <w:tblPr/>
      <w:tcPr>
        <w:tcBorders>
          <w:top w:val="none" w:sz="4" w:space="0" w:color="000000"/>
          <w:left w:val="none" w:sz="4" w:space="0" w:color="000000"/>
          <w:bottom w:val="none" w:sz="4" w:space="0" w:color="000000"/>
          <w:right w:val="single" w:sz="8" w:space="0" w:color="4F81BD" w:themeColor="accent1"/>
        </w:tcBorders>
        <w:shd w:val="clear" w:color="auto" w:fill="FFFFFF" w:themeFill="background1"/>
      </w:tcPr>
    </w:tblStylePr>
    <w:tblStylePr w:type="lastCol">
      <w:tblPr/>
      <w:tcPr>
        <w:tcBorders>
          <w:top w:val="none" w:sz="4" w:space="0" w:color="000000"/>
          <w:left w:val="single" w:sz="8" w:space="0" w:color="4F81BD" w:themeColor="accent1"/>
          <w:bottom w:val="none" w:sz="4" w:space="0" w:color="000000"/>
          <w:right w:val="none" w:sz="4" w:space="0" w:color="000000"/>
        </w:tcBorders>
        <w:shd w:val="clear" w:color="auto" w:fill="FFFFFF" w:themeFill="background1"/>
      </w:tcPr>
    </w:tblStylePr>
    <w:tblStylePr w:type="band1Vert">
      <w:tblPr/>
      <w:tcPr>
        <w:tcBorders>
          <w:left w:val="none" w:sz="4" w:space="0" w:color="000000"/>
          <w:right w:val="none" w:sz="4" w:space="0" w:color="000000"/>
        </w:tcBorders>
        <w:shd w:val="clear" w:color="auto" w:fill="D3DFEE" w:themeFill="accent1" w:themeFillTint="3F"/>
      </w:tcPr>
    </w:tblStylePr>
    <w:tblStylePr w:type="band1Horz">
      <w:tblPr/>
      <w:tcPr>
        <w:tcBorders>
          <w:top w:val="none" w:sz="4" w:space="0" w:color="000000"/>
          <w:bottom w:val="none" w:sz="4" w:space="0" w:color="000000"/>
        </w:tcBorders>
        <w:shd w:val="clear" w:color="auto" w:fill="D3DFEE" w:themeFill="accent1" w:themeFillTint="3F"/>
      </w:tcPr>
    </w:tblStylePr>
    <w:tblStylePr w:type="nwCell">
      <w:tblPr/>
      <w:tcPr>
        <w:shd w:val="clear" w:color="auto" w:fill="FFFFFF" w:themeFill="background1"/>
      </w:tcPr>
    </w:tblStylePr>
    <w:tblStylePr w:type="swCell">
      <w:tblPr/>
      <w:tcPr>
        <w:tcBorders>
          <w:top w:val="none" w:sz="4" w:space="0" w:color="000000"/>
        </w:tcBorders>
      </w:tcPr>
    </w:tblStylePr>
  </w:style>
  <w:style w:type="table" w:styleId="2-20">
    <w:name w:val="Medium List 2 Accent 2"/>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one" w:sz="4" w:space="0" w:color="000000"/>
          <w:left w:val="none" w:sz="4" w:space="0" w:color="000000"/>
          <w:bottom w:val="single" w:sz="24" w:space="0" w:color="C0504D" w:themeColor="accent2"/>
          <w:right w:val="none" w:sz="4" w:space="0" w:color="000000"/>
        </w:tcBorders>
        <w:shd w:val="clear" w:color="auto" w:fill="FFFFFF" w:themeFill="background1"/>
      </w:tcPr>
    </w:tblStylePr>
    <w:tblStylePr w:type="lastRow">
      <w:tblPr/>
      <w:tcPr>
        <w:tcBorders>
          <w:top w:val="single" w:sz="8" w:space="0" w:color="C0504D" w:themeColor="accent2"/>
          <w:left w:val="none" w:sz="4" w:space="0" w:color="000000"/>
          <w:bottom w:val="none" w:sz="4" w:space="0" w:color="000000"/>
          <w:right w:val="none" w:sz="4" w:space="0" w:color="000000"/>
        </w:tcBorders>
        <w:shd w:val="clear" w:color="auto" w:fill="FFFFFF" w:themeFill="background1"/>
      </w:tcPr>
    </w:tblStylePr>
    <w:tblStylePr w:type="firstCol">
      <w:tblPr/>
      <w:tcPr>
        <w:tcBorders>
          <w:top w:val="none" w:sz="4" w:space="0" w:color="000000"/>
          <w:left w:val="none" w:sz="4" w:space="0" w:color="000000"/>
          <w:bottom w:val="none" w:sz="4" w:space="0" w:color="000000"/>
          <w:right w:val="single" w:sz="8" w:space="0" w:color="C0504D" w:themeColor="accent2"/>
        </w:tcBorders>
        <w:shd w:val="clear" w:color="auto" w:fill="FFFFFF" w:themeFill="background1"/>
      </w:tcPr>
    </w:tblStylePr>
    <w:tblStylePr w:type="lastCol">
      <w:tblPr/>
      <w:tcPr>
        <w:tcBorders>
          <w:top w:val="none" w:sz="4" w:space="0" w:color="000000"/>
          <w:left w:val="single" w:sz="8" w:space="0" w:color="C0504D" w:themeColor="accent2"/>
          <w:bottom w:val="none" w:sz="4" w:space="0" w:color="000000"/>
          <w:right w:val="none" w:sz="4" w:space="0" w:color="000000"/>
        </w:tcBorders>
        <w:shd w:val="clear" w:color="auto" w:fill="FFFFFF" w:themeFill="background1"/>
      </w:tcPr>
    </w:tblStylePr>
    <w:tblStylePr w:type="band1Vert">
      <w:tblPr/>
      <w:tcPr>
        <w:tcBorders>
          <w:left w:val="none" w:sz="4" w:space="0" w:color="000000"/>
          <w:right w:val="none" w:sz="4" w:space="0" w:color="000000"/>
        </w:tcBorders>
        <w:shd w:val="clear" w:color="auto" w:fill="EFD3D2" w:themeFill="accent2" w:themeFillTint="3F"/>
      </w:tcPr>
    </w:tblStylePr>
    <w:tblStylePr w:type="band1Horz">
      <w:tblPr/>
      <w:tcPr>
        <w:tcBorders>
          <w:top w:val="none" w:sz="4" w:space="0" w:color="000000"/>
          <w:bottom w:val="none" w:sz="4" w:space="0" w:color="000000"/>
        </w:tcBorders>
        <w:shd w:val="clear" w:color="auto" w:fill="EFD3D2" w:themeFill="accent2" w:themeFillTint="3F"/>
      </w:tcPr>
    </w:tblStylePr>
    <w:tblStylePr w:type="nwCell">
      <w:tblPr/>
      <w:tcPr>
        <w:shd w:val="clear" w:color="auto" w:fill="FFFFFF" w:themeFill="background1"/>
      </w:tcPr>
    </w:tblStylePr>
    <w:tblStylePr w:type="swCell">
      <w:tblPr/>
      <w:tcPr>
        <w:tcBorders>
          <w:top w:val="none" w:sz="4" w:space="0" w:color="000000"/>
        </w:tcBorders>
      </w:tcPr>
    </w:tblStylePr>
  </w:style>
  <w:style w:type="table" w:styleId="2-30">
    <w:name w:val="Medium List 2 Accent 3"/>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one" w:sz="4" w:space="0" w:color="000000"/>
          <w:left w:val="none" w:sz="4" w:space="0" w:color="000000"/>
          <w:bottom w:val="single" w:sz="24" w:space="0" w:color="9BBB59" w:themeColor="accent3"/>
          <w:right w:val="none" w:sz="4" w:space="0" w:color="000000"/>
        </w:tcBorders>
        <w:shd w:val="clear" w:color="auto" w:fill="FFFFFF" w:themeFill="background1"/>
      </w:tcPr>
    </w:tblStylePr>
    <w:tblStylePr w:type="lastRow">
      <w:tblPr/>
      <w:tcPr>
        <w:tcBorders>
          <w:top w:val="single" w:sz="8" w:space="0" w:color="9BBB59" w:themeColor="accent3"/>
          <w:left w:val="none" w:sz="4" w:space="0" w:color="000000"/>
          <w:bottom w:val="none" w:sz="4" w:space="0" w:color="000000"/>
          <w:right w:val="none" w:sz="4" w:space="0" w:color="000000"/>
        </w:tcBorders>
        <w:shd w:val="clear" w:color="auto" w:fill="FFFFFF" w:themeFill="background1"/>
      </w:tcPr>
    </w:tblStylePr>
    <w:tblStylePr w:type="firstCol">
      <w:tblPr/>
      <w:tcPr>
        <w:tcBorders>
          <w:top w:val="none" w:sz="4" w:space="0" w:color="000000"/>
          <w:left w:val="none" w:sz="4" w:space="0" w:color="000000"/>
          <w:bottom w:val="none" w:sz="4" w:space="0" w:color="000000"/>
          <w:right w:val="single" w:sz="8" w:space="0" w:color="9BBB59" w:themeColor="accent3"/>
        </w:tcBorders>
        <w:shd w:val="clear" w:color="auto" w:fill="FFFFFF" w:themeFill="background1"/>
      </w:tcPr>
    </w:tblStylePr>
    <w:tblStylePr w:type="lastCol">
      <w:tblPr/>
      <w:tcPr>
        <w:tcBorders>
          <w:top w:val="none" w:sz="4" w:space="0" w:color="000000"/>
          <w:left w:val="single" w:sz="8" w:space="0" w:color="9BBB59" w:themeColor="accent3"/>
          <w:bottom w:val="none" w:sz="4" w:space="0" w:color="000000"/>
          <w:right w:val="none" w:sz="4" w:space="0" w:color="000000"/>
        </w:tcBorders>
        <w:shd w:val="clear" w:color="auto" w:fill="FFFFFF" w:themeFill="background1"/>
      </w:tcPr>
    </w:tblStylePr>
    <w:tblStylePr w:type="band1Vert">
      <w:tblPr/>
      <w:tcPr>
        <w:tcBorders>
          <w:left w:val="none" w:sz="4" w:space="0" w:color="000000"/>
          <w:right w:val="none" w:sz="4" w:space="0" w:color="000000"/>
        </w:tcBorders>
        <w:shd w:val="clear" w:color="auto" w:fill="E6EED5" w:themeFill="accent3" w:themeFillTint="3F"/>
      </w:tcPr>
    </w:tblStylePr>
    <w:tblStylePr w:type="band1Horz">
      <w:tblPr/>
      <w:tcPr>
        <w:tcBorders>
          <w:top w:val="none" w:sz="4" w:space="0" w:color="000000"/>
          <w:bottom w:val="none" w:sz="4" w:space="0" w:color="000000"/>
        </w:tcBorders>
        <w:shd w:val="clear" w:color="auto" w:fill="E6EED5" w:themeFill="accent3" w:themeFillTint="3F"/>
      </w:tcPr>
    </w:tblStylePr>
    <w:tblStylePr w:type="nwCell">
      <w:tblPr/>
      <w:tcPr>
        <w:shd w:val="clear" w:color="auto" w:fill="FFFFFF" w:themeFill="background1"/>
      </w:tcPr>
    </w:tblStylePr>
    <w:tblStylePr w:type="swCell">
      <w:tblPr/>
      <w:tcPr>
        <w:tcBorders>
          <w:top w:val="none" w:sz="4" w:space="0" w:color="000000"/>
        </w:tcBorders>
      </w:tcPr>
    </w:tblStylePr>
  </w:style>
  <w:style w:type="table" w:styleId="2-40">
    <w:name w:val="Medium List 2 Accent 4"/>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one" w:sz="4" w:space="0" w:color="000000"/>
          <w:left w:val="none" w:sz="4" w:space="0" w:color="000000"/>
          <w:bottom w:val="single" w:sz="24" w:space="0" w:color="8064A2" w:themeColor="accent4"/>
          <w:right w:val="none" w:sz="4" w:space="0" w:color="000000"/>
        </w:tcBorders>
        <w:shd w:val="clear" w:color="auto" w:fill="FFFFFF" w:themeFill="background1"/>
      </w:tcPr>
    </w:tblStylePr>
    <w:tblStylePr w:type="lastRow">
      <w:tblPr/>
      <w:tcPr>
        <w:tcBorders>
          <w:top w:val="single" w:sz="8" w:space="0" w:color="8064A2" w:themeColor="accent4"/>
          <w:left w:val="none" w:sz="4" w:space="0" w:color="000000"/>
          <w:bottom w:val="none" w:sz="4" w:space="0" w:color="000000"/>
          <w:right w:val="none" w:sz="4" w:space="0" w:color="000000"/>
        </w:tcBorders>
        <w:shd w:val="clear" w:color="auto" w:fill="FFFFFF" w:themeFill="background1"/>
      </w:tcPr>
    </w:tblStylePr>
    <w:tblStylePr w:type="firstCol">
      <w:tblPr/>
      <w:tcPr>
        <w:tcBorders>
          <w:top w:val="none" w:sz="4" w:space="0" w:color="000000"/>
          <w:left w:val="none" w:sz="4" w:space="0" w:color="000000"/>
          <w:bottom w:val="none" w:sz="4" w:space="0" w:color="000000"/>
          <w:right w:val="single" w:sz="8" w:space="0" w:color="8064A2" w:themeColor="accent4"/>
        </w:tcBorders>
        <w:shd w:val="clear" w:color="auto" w:fill="FFFFFF" w:themeFill="background1"/>
      </w:tcPr>
    </w:tblStylePr>
    <w:tblStylePr w:type="lastCol">
      <w:tblPr/>
      <w:tcPr>
        <w:tcBorders>
          <w:top w:val="none" w:sz="4" w:space="0" w:color="000000"/>
          <w:left w:val="single" w:sz="8" w:space="0" w:color="8064A2" w:themeColor="accent4"/>
          <w:bottom w:val="none" w:sz="4" w:space="0" w:color="000000"/>
          <w:right w:val="none" w:sz="4" w:space="0" w:color="000000"/>
        </w:tcBorders>
        <w:shd w:val="clear" w:color="auto" w:fill="FFFFFF" w:themeFill="background1"/>
      </w:tcPr>
    </w:tblStylePr>
    <w:tblStylePr w:type="band1Vert">
      <w:tblPr/>
      <w:tcPr>
        <w:tcBorders>
          <w:left w:val="none" w:sz="4" w:space="0" w:color="000000"/>
          <w:right w:val="none" w:sz="4" w:space="0" w:color="000000"/>
        </w:tcBorders>
        <w:shd w:val="clear" w:color="auto" w:fill="DFD8E8" w:themeFill="accent4" w:themeFillTint="3F"/>
      </w:tcPr>
    </w:tblStylePr>
    <w:tblStylePr w:type="band1Horz">
      <w:tblPr/>
      <w:tcPr>
        <w:tcBorders>
          <w:top w:val="none" w:sz="4" w:space="0" w:color="000000"/>
          <w:bottom w:val="none" w:sz="4" w:space="0" w:color="000000"/>
        </w:tcBorders>
        <w:shd w:val="clear" w:color="auto" w:fill="DFD8E8" w:themeFill="accent4" w:themeFillTint="3F"/>
      </w:tcPr>
    </w:tblStylePr>
    <w:tblStylePr w:type="nwCell">
      <w:tblPr/>
      <w:tcPr>
        <w:shd w:val="clear" w:color="auto" w:fill="FFFFFF" w:themeFill="background1"/>
      </w:tcPr>
    </w:tblStylePr>
    <w:tblStylePr w:type="swCell">
      <w:tblPr/>
      <w:tcPr>
        <w:tcBorders>
          <w:top w:val="none" w:sz="4" w:space="0" w:color="000000"/>
        </w:tcBorders>
      </w:tcPr>
    </w:tblStylePr>
  </w:style>
  <w:style w:type="table" w:styleId="2-50">
    <w:name w:val="Medium List 2 Accent 5"/>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one" w:sz="4" w:space="0" w:color="000000"/>
          <w:left w:val="none" w:sz="4" w:space="0" w:color="000000"/>
          <w:bottom w:val="single" w:sz="24" w:space="0" w:color="4BACC6" w:themeColor="accent5"/>
          <w:right w:val="none" w:sz="4" w:space="0" w:color="000000"/>
        </w:tcBorders>
        <w:shd w:val="clear" w:color="auto" w:fill="FFFFFF" w:themeFill="background1"/>
      </w:tcPr>
    </w:tblStylePr>
    <w:tblStylePr w:type="lastRow">
      <w:tblPr/>
      <w:tcPr>
        <w:tcBorders>
          <w:top w:val="single" w:sz="8" w:space="0" w:color="4BACC6" w:themeColor="accent5"/>
          <w:left w:val="none" w:sz="4" w:space="0" w:color="000000"/>
          <w:bottom w:val="none" w:sz="4" w:space="0" w:color="000000"/>
          <w:right w:val="none" w:sz="4" w:space="0" w:color="000000"/>
        </w:tcBorders>
        <w:shd w:val="clear" w:color="auto" w:fill="FFFFFF" w:themeFill="background1"/>
      </w:tcPr>
    </w:tblStylePr>
    <w:tblStylePr w:type="firstCol">
      <w:tblPr/>
      <w:tcPr>
        <w:tcBorders>
          <w:top w:val="none" w:sz="4" w:space="0" w:color="000000"/>
          <w:left w:val="none" w:sz="4" w:space="0" w:color="000000"/>
          <w:bottom w:val="none" w:sz="4" w:space="0" w:color="000000"/>
          <w:right w:val="single" w:sz="8" w:space="0" w:color="4BACC6" w:themeColor="accent5"/>
        </w:tcBorders>
        <w:shd w:val="clear" w:color="auto" w:fill="FFFFFF" w:themeFill="background1"/>
      </w:tcPr>
    </w:tblStylePr>
    <w:tblStylePr w:type="lastCol">
      <w:tblPr/>
      <w:tcPr>
        <w:tcBorders>
          <w:top w:val="none" w:sz="4" w:space="0" w:color="000000"/>
          <w:left w:val="single" w:sz="8" w:space="0" w:color="4BACC6" w:themeColor="accent5"/>
          <w:bottom w:val="none" w:sz="4" w:space="0" w:color="000000"/>
          <w:right w:val="none" w:sz="4" w:space="0" w:color="000000"/>
        </w:tcBorders>
        <w:shd w:val="clear" w:color="auto" w:fill="FFFFFF" w:themeFill="background1"/>
      </w:tcPr>
    </w:tblStylePr>
    <w:tblStylePr w:type="band1Vert">
      <w:tblPr/>
      <w:tcPr>
        <w:tcBorders>
          <w:left w:val="none" w:sz="4" w:space="0" w:color="000000"/>
          <w:right w:val="none" w:sz="4" w:space="0" w:color="000000"/>
        </w:tcBorders>
        <w:shd w:val="clear" w:color="auto" w:fill="D2EAF1" w:themeFill="accent5" w:themeFillTint="3F"/>
      </w:tcPr>
    </w:tblStylePr>
    <w:tblStylePr w:type="band1Horz">
      <w:tblPr/>
      <w:tcPr>
        <w:tcBorders>
          <w:top w:val="none" w:sz="4" w:space="0" w:color="000000"/>
          <w:bottom w:val="none" w:sz="4" w:space="0" w:color="000000"/>
        </w:tcBorders>
        <w:shd w:val="clear" w:color="auto" w:fill="D2EAF1" w:themeFill="accent5" w:themeFillTint="3F"/>
      </w:tcPr>
    </w:tblStylePr>
    <w:tblStylePr w:type="nwCell">
      <w:tblPr/>
      <w:tcPr>
        <w:shd w:val="clear" w:color="auto" w:fill="FFFFFF" w:themeFill="background1"/>
      </w:tcPr>
    </w:tblStylePr>
    <w:tblStylePr w:type="swCell">
      <w:tblPr/>
      <w:tcPr>
        <w:tcBorders>
          <w:top w:val="none" w:sz="4" w:space="0" w:color="000000"/>
        </w:tcBorders>
      </w:tcPr>
    </w:tblStylePr>
  </w:style>
  <w:style w:type="table" w:styleId="2-60">
    <w:name w:val="Medium List 2 Accent 6"/>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one" w:sz="4" w:space="0" w:color="000000"/>
          <w:left w:val="none" w:sz="4" w:space="0" w:color="000000"/>
          <w:bottom w:val="single" w:sz="24" w:space="0" w:color="F79646" w:themeColor="accent6"/>
          <w:right w:val="none" w:sz="4" w:space="0" w:color="000000"/>
        </w:tcBorders>
        <w:shd w:val="clear" w:color="auto" w:fill="FFFFFF" w:themeFill="background1"/>
      </w:tcPr>
    </w:tblStylePr>
    <w:tblStylePr w:type="lastRow">
      <w:tblPr/>
      <w:tcPr>
        <w:tcBorders>
          <w:top w:val="single" w:sz="8" w:space="0" w:color="F79646" w:themeColor="accent6"/>
          <w:left w:val="none" w:sz="4" w:space="0" w:color="000000"/>
          <w:bottom w:val="none" w:sz="4" w:space="0" w:color="000000"/>
          <w:right w:val="none" w:sz="4" w:space="0" w:color="000000"/>
        </w:tcBorders>
        <w:shd w:val="clear" w:color="auto" w:fill="FFFFFF" w:themeFill="background1"/>
      </w:tcPr>
    </w:tblStylePr>
    <w:tblStylePr w:type="firstCol">
      <w:tblPr/>
      <w:tcPr>
        <w:tcBorders>
          <w:top w:val="none" w:sz="4" w:space="0" w:color="000000"/>
          <w:left w:val="none" w:sz="4" w:space="0" w:color="000000"/>
          <w:bottom w:val="none" w:sz="4" w:space="0" w:color="000000"/>
          <w:right w:val="single" w:sz="8" w:space="0" w:color="F79646" w:themeColor="accent6"/>
        </w:tcBorders>
        <w:shd w:val="clear" w:color="auto" w:fill="FFFFFF" w:themeFill="background1"/>
      </w:tcPr>
    </w:tblStylePr>
    <w:tblStylePr w:type="lastCol">
      <w:tblPr/>
      <w:tcPr>
        <w:tcBorders>
          <w:top w:val="none" w:sz="4" w:space="0" w:color="000000"/>
          <w:left w:val="single" w:sz="8" w:space="0" w:color="F79646" w:themeColor="accent6"/>
          <w:bottom w:val="none" w:sz="4" w:space="0" w:color="000000"/>
          <w:right w:val="none" w:sz="4" w:space="0" w:color="000000"/>
        </w:tcBorders>
        <w:shd w:val="clear" w:color="auto" w:fill="FFFFFF" w:themeFill="background1"/>
      </w:tcPr>
    </w:tblStylePr>
    <w:tblStylePr w:type="band1Vert">
      <w:tblPr/>
      <w:tcPr>
        <w:tcBorders>
          <w:left w:val="none" w:sz="4" w:space="0" w:color="000000"/>
          <w:right w:val="none" w:sz="4" w:space="0" w:color="000000"/>
        </w:tcBorders>
        <w:shd w:val="clear" w:color="auto" w:fill="FDE4D0" w:themeFill="accent6" w:themeFillTint="3F"/>
      </w:tcPr>
    </w:tblStylePr>
    <w:tblStylePr w:type="band1Horz">
      <w:tblPr/>
      <w:tcPr>
        <w:tcBorders>
          <w:top w:val="none" w:sz="4" w:space="0" w:color="000000"/>
          <w:bottom w:val="none" w:sz="4" w:space="0" w:color="000000"/>
        </w:tcBorders>
        <w:shd w:val="clear" w:color="auto" w:fill="FDE4D0" w:themeFill="accent6" w:themeFillTint="3F"/>
      </w:tcPr>
    </w:tblStylePr>
    <w:tblStylePr w:type="nwCell">
      <w:tblPr/>
      <w:tcPr>
        <w:shd w:val="clear" w:color="auto" w:fill="FFFFFF" w:themeFill="background1"/>
      </w:tcPr>
    </w:tblStylePr>
    <w:tblStylePr w:type="swCell">
      <w:tblPr/>
      <w:tcPr>
        <w:tcBorders>
          <w:top w:val="none" w:sz="4" w:space="0" w:color="000000"/>
        </w:tcBorders>
      </w:tcPr>
    </w:tblStylePr>
  </w:style>
  <w:style w:type="table" w:styleId="15">
    <w:name w:val="Medium Grid 1"/>
    <w:basedOn w:val="a3"/>
    <w:uiPriority w:val="6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d">
    <w:name w:val="Medium Grid 2"/>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one" w:sz="4" w:space="0" w:color="000000"/>
          <w:bottom w:val="none" w:sz="4" w:space="0" w:color="000000"/>
          <w:right w:val="none" w:sz="4" w:space="0" w:color="000000"/>
        </w:tcBorders>
        <w:shd w:val="clear" w:color="auto" w:fill="FFFFFF" w:themeFill="background1"/>
      </w:tcPr>
    </w:tblStylePr>
    <w:tblStylePr w:type="firstCol">
      <w:rPr>
        <w:b/>
        <w:bCs/>
        <w:color w:val="000000" w:themeColor="text1"/>
      </w:rPr>
      <w:tblPr/>
      <w:tcPr>
        <w:tcBorders>
          <w:top w:val="none" w:sz="4" w:space="0" w:color="000000"/>
          <w:left w:val="none" w:sz="4" w:space="0" w:color="000000"/>
          <w:bottom w:val="none" w:sz="4" w:space="0" w:color="000000"/>
          <w:right w:val="none" w:sz="4" w:space="0" w:color="000000"/>
        </w:tcBorders>
        <w:shd w:val="clear" w:color="auto" w:fill="FFFFFF" w:themeFill="background1"/>
      </w:tcPr>
    </w:tblStylePr>
    <w:tblStylePr w:type="lastCol">
      <w:rPr>
        <w:b w:val="0"/>
        <w:bCs w:val="0"/>
        <w:color w:val="000000" w:themeColor="text1"/>
      </w:rPr>
      <w:tblPr/>
      <w:tcPr>
        <w:tcBorders>
          <w:top w:val="none" w:sz="4" w:space="0" w:color="000000"/>
          <w:left w:val="none" w:sz="4" w:space="0" w:color="000000"/>
          <w:bottom w:val="none" w:sz="4" w:space="0" w:color="000000"/>
          <w:right w:val="none" w:sz="4" w:space="0" w:color="000000"/>
        </w:tcBorders>
        <w:shd w:val="clear" w:color="auto" w:fill="CCCCCC" w:themeFill="text1" w:themeFillTint="33"/>
      </w:tcPr>
    </w:tblStylePr>
    <w:tblStylePr w:type="band1Vert">
      <w:tblPr/>
      <w:tcPr>
        <w:shd w:val="clear" w:color="auto" w:fill="808080" w:themeFill="text1" w:themeFillTint="7F"/>
      </w:tcPr>
    </w:tblStylePr>
    <w:tblStylePr w:type="band1Horz">
      <w:tblPr/>
      <w:tcPr>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one" w:sz="4" w:space="0" w:color="000000"/>
          <w:bottom w:val="none" w:sz="4" w:space="0" w:color="000000"/>
          <w:right w:val="none" w:sz="4" w:space="0" w:color="000000"/>
        </w:tcBorders>
        <w:shd w:val="clear" w:color="auto" w:fill="FFFFFF" w:themeFill="background1"/>
      </w:tcPr>
    </w:tblStylePr>
    <w:tblStylePr w:type="firstCol">
      <w:rPr>
        <w:b/>
        <w:bCs/>
        <w:color w:val="000000" w:themeColor="text1"/>
      </w:rPr>
      <w:tblPr/>
      <w:tcPr>
        <w:tcBorders>
          <w:top w:val="none" w:sz="4" w:space="0" w:color="000000"/>
          <w:left w:val="none" w:sz="4" w:space="0" w:color="000000"/>
          <w:bottom w:val="none" w:sz="4" w:space="0" w:color="000000"/>
          <w:right w:val="none" w:sz="4" w:space="0" w:color="000000"/>
        </w:tcBorders>
        <w:shd w:val="clear" w:color="auto" w:fill="FFFFFF" w:themeFill="background1"/>
      </w:tcPr>
    </w:tblStylePr>
    <w:tblStylePr w:type="lastCol">
      <w:rPr>
        <w:b w:val="0"/>
        <w:bCs w:val="0"/>
        <w:color w:val="000000" w:themeColor="text1"/>
      </w:rPr>
      <w:tblPr/>
      <w:tcPr>
        <w:tcBorders>
          <w:top w:val="none" w:sz="4" w:space="0" w:color="000000"/>
          <w:left w:val="none" w:sz="4" w:space="0" w:color="000000"/>
          <w:bottom w:val="none" w:sz="4" w:space="0" w:color="000000"/>
          <w:right w:val="none" w:sz="4" w:space="0" w:color="000000"/>
        </w:tcBorders>
        <w:shd w:val="clear" w:color="auto" w:fill="DBE5F1" w:themeFill="accent1" w:themeFillTint="33"/>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one" w:sz="4" w:space="0" w:color="000000"/>
          <w:bottom w:val="none" w:sz="4" w:space="0" w:color="000000"/>
          <w:right w:val="none" w:sz="4" w:space="0" w:color="000000"/>
        </w:tcBorders>
        <w:shd w:val="clear" w:color="auto" w:fill="FFFFFF" w:themeFill="background1"/>
      </w:tcPr>
    </w:tblStylePr>
    <w:tblStylePr w:type="firstCol">
      <w:rPr>
        <w:b/>
        <w:bCs/>
        <w:color w:val="000000" w:themeColor="text1"/>
      </w:rPr>
      <w:tblPr/>
      <w:tcPr>
        <w:tcBorders>
          <w:top w:val="none" w:sz="4" w:space="0" w:color="000000"/>
          <w:left w:val="none" w:sz="4" w:space="0" w:color="000000"/>
          <w:bottom w:val="none" w:sz="4" w:space="0" w:color="000000"/>
          <w:right w:val="none" w:sz="4" w:space="0" w:color="000000"/>
        </w:tcBorders>
        <w:shd w:val="clear" w:color="auto" w:fill="FFFFFF" w:themeFill="background1"/>
      </w:tcPr>
    </w:tblStylePr>
    <w:tblStylePr w:type="lastCol">
      <w:rPr>
        <w:b w:val="0"/>
        <w:bCs w:val="0"/>
        <w:color w:val="000000" w:themeColor="text1"/>
      </w:rPr>
      <w:tblPr/>
      <w:tcPr>
        <w:tcBorders>
          <w:top w:val="none" w:sz="4" w:space="0" w:color="000000"/>
          <w:left w:val="none" w:sz="4" w:space="0" w:color="000000"/>
          <w:bottom w:val="none" w:sz="4" w:space="0" w:color="000000"/>
          <w:right w:val="none" w:sz="4" w:space="0" w:color="000000"/>
        </w:tcBorders>
        <w:shd w:val="clear" w:color="auto" w:fill="F2DBDB" w:themeFill="accent2" w:themeFillTint="33"/>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one" w:sz="4" w:space="0" w:color="000000"/>
          <w:bottom w:val="none" w:sz="4" w:space="0" w:color="000000"/>
          <w:right w:val="none" w:sz="4" w:space="0" w:color="000000"/>
        </w:tcBorders>
        <w:shd w:val="clear" w:color="auto" w:fill="FFFFFF" w:themeFill="background1"/>
      </w:tcPr>
    </w:tblStylePr>
    <w:tblStylePr w:type="firstCol">
      <w:rPr>
        <w:b/>
        <w:bCs/>
        <w:color w:val="000000" w:themeColor="text1"/>
      </w:rPr>
      <w:tblPr/>
      <w:tcPr>
        <w:tcBorders>
          <w:top w:val="none" w:sz="4" w:space="0" w:color="000000"/>
          <w:left w:val="none" w:sz="4" w:space="0" w:color="000000"/>
          <w:bottom w:val="none" w:sz="4" w:space="0" w:color="000000"/>
          <w:right w:val="none" w:sz="4" w:space="0" w:color="000000"/>
        </w:tcBorders>
        <w:shd w:val="clear" w:color="auto" w:fill="FFFFFF" w:themeFill="background1"/>
      </w:tcPr>
    </w:tblStylePr>
    <w:tblStylePr w:type="lastCol">
      <w:rPr>
        <w:b w:val="0"/>
        <w:bCs w:val="0"/>
        <w:color w:val="000000" w:themeColor="text1"/>
      </w:rPr>
      <w:tblPr/>
      <w:tcPr>
        <w:tcBorders>
          <w:top w:val="none" w:sz="4" w:space="0" w:color="000000"/>
          <w:left w:val="none" w:sz="4" w:space="0" w:color="000000"/>
          <w:bottom w:val="none" w:sz="4" w:space="0" w:color="000000"/>
          <w:right w:val="none" w:sz="4" w:space="0" w:color="000000"/>
        </w:tcBorders>
        <w:shd w:val="clear" w:color="auto" w:fill="EAF1DD" w:themeFill="accent3" w:themeFillTint="33"/>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one" w:sz="4" w:space="0" w:color="000000"/>
          <w:bottom w:val="none" w:sz="4" w:space="0" w:color="000000"/>
          <w:right w:val="none" w:sz="4" w:space="0" w:color="000000"/>
        </w:tcBorders>
        <w:shd w:val="clear" w:color="auto" w:fill="FFFFFF" w:themeFill="background1"/>
      </w:tcPr>
    </w:tblStylePr>
    <w:tblStylePr w:type="firstCol">
      <w:rPr>
        <w:b/>
        <w:bCs/>
        <w:color w:val="000000" w:themeColor="text1"/>
      </w:rPr>
      <w:tblPr/>
      <w:tcPr>
        <w:tcBorders>
          <w:top w:val="none" w:sz="4" w:space="0" w:color="000000"/>
          <w:left w:val="none" w:sz="4" w:space="0" w:color="000000"/>
          <w:bottom w:val="none" w:sz="4" w:space="0" w:color="000000"/>
          <w:right w:val="none" w:sz="4" w:space="0" w:color="000000"/>
        </w:tcBorders>
        <w:shd w:val="clear" w:color="auto" w:fill="FFFFFF" w:themeFill="background1"/>
      </w:tcPr>
    </w:tblStylePr>
    <w:tblStylePr w:type="lastCol">
      <w:rPr>
        <w:b w:val="0"/>
        <w:bCs w:val="0"/>
        <w:color w:val="000000" w:themeColor="text1"/>
      </w:rPr>
      <w:tblPr/>
      <w:tcPr>
        <w:tcBorders>
          <w:top w:val="none" w:sz="4" w:space="0" w:color="000000"/>
          <w:left w:val="none" w:sz="4" w:space="0" w:color="000000"/>
          <w:bottom w:val="none" w:sz="4" w:space="0" w:color="000000"/>
          <w:right w:val="none" w:sz="4" w:space="0" w:color="000000"/>
        </w:tcBorders>
        <w:shd w:val="clear" w:color="auto" w:fill="E5DFEC" w:themeFill="accent4" w:themeFillTint="33"/>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one" w:sz="4" w:space="0" w:color="000000"/>
          <w:bottom w:val="none" w:sz="4" w:space="0" w:color="000000"/>
          <w:right w:val="none" w:sz="4" w:space="0" w:color="000000"/>
        </w:tcBorders>
        <w:shd w:val="clear" w:color="auto" w:fill="FFFFFF" w:themeFill="background1"/>
      </w:tcPr>
    </w:tblStylePr>
    <w:tblStylePr w:type="firstCol">
      <w:rPr>
        <w:b/>
        <w:bCs/>
        <w:color w:val="000000" w:themeColor="text1"/>
      </w:rPr>
      <w:tblPr/>
      <w:tcPr>
        <w:tcBorders>
          <w:top w:val="none" w:sz="4" w:space="0" w:color="000000"/>
          <w:left w:val="none" w:sz="4" w:space="0" w:color="000000"/>
          <w:bottom w:val="none" w:sz="4" w:space="0" w:color="000000"/>
          <w:right w:val="none" w:sz="4" w:space="0" w:color="000000"/>
        </w:tcBorders>
        <w:shd w:val="clear" w:color="auto" w:fill="FFFFFF" w:themeFill="background1"/>
      </w:tcPr>
    </w:tblStylePr>
    <w:tblStylePr w:type="lastCol">
      <w:rPr>
        <w:b w:val="0"/>
        <w:bCs w:val="0"/>
        <w:color w:val="000000" w:themeColor="text1"/>
      </w:rPr>
      <w:tblPr/>
      <w:tcPr>
        <w:tcBorders>
          <w:top w:val="none" w:sz="4" w:space="0" w:color="000000"/>
          <w:left w:val="none" w:sz="4" w:space="0" w:color="000000"/>
          <w:bottom w:val="none" w:sz="4" w:space="0" w:color="000000"/>
          <w:right w:val="none" w:sz="4" w:space="0" w:color="000000"/>
        </w:tcBorders>
        <w:shd w:val="clear" w:color="auto" w:fill="DAEEF3" w:themeFill="accent5" w:themeFillTint="33"/>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one" w:sz="4" w:space="0" w:color="000000"/>
          <w:bottom w:val="none" w:sz="4" w:space="0" w:color="000000"/>
          <w:right w:val="none" w:sz="4" w:space="0" w:color="000000"/>
        </w:tcBorders>
        <w:shd w:val="clear" w:color="auto" w:fill="FFFFFF" w:themeFill="background1"/>
      </w:tcPr>
    </w:tblStylePr>
    <w:tblStylePr w:type="firstCol">
      <w:rPr>
        <w:b/>
        <w:bCs/>
        <w:color w:val="000000" w:themeColor="text1"/>
      </w:rPr>
      <w:tblPr/>
      <w:tcPr>
        <w:tcBorders>
          <w:top w:val="none" w:sz="4" w:space="0" w:color="000000"/>
          <w:left w:val="none" w:sz="4" w:space="0" w:color="000000"/>
          <w:bottom w:val="none" w:sz="4" w:space="0" w:color="000000"/>
          <w:right w:val="none" w:sz="4" w:space="0" w:color="000000"/>
        </w:tcBorders>
        <w:shd w:val="clear" w:color="auto" w:fill="FFFFFF" w:themeFill="background1"/>
      </w:tcPr>
    </w:tblStylePr>
    <w:tblStylePr w:type="lastCol">
      <w:rPr>
        <w:b w:val="0"/>
        <w:bCs w:val="0"/>
        <w:color w:val="000000" w:themeColor="text1"/>
      </w:rPr>
      <w:tblPr/>
      <w:tcPr>
        <w:tcBorders>
          <w:top w:val="none" w:sz="4" w:space="0" w:color="000000"/>
          <w:left w:val="none" w:sz="4" w:space="0" w:color="000000"/>
          <w:bottom w:val="none" w:sz="4" w:space="0" w:color="000000"/>
          <w:right w:val="none" w:sz="4" w:space="0" w:color="000000"/>
        </w:tcBorders>
        <w:shd w:val="clear" w:color="auto" w:fill="FDE9D9" w:themeFill="accent6" w:themeFillTint="33"/>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tblStylePr w:type="nwCell">
      <w:tblPr/>
      <w:tcPr>
        <w:shd w:val="clear" w:color="auto" w:fill="FFFFFF" w:themeFill="background1"/>
      </w:tcPr>
    </w:tblStylePr>
  </w:style>
  <w:style w:type="table" w:styleId="39">
    <w:name w:val="Medium Grid 3"/>
    <w:basedOn w:val="a3"/>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tcBorders>
        <w:shd w:val="clear" w:color="auto" w:fill="000000" w:themeFill="text1"/>
      </w:tcPr>
    </w:tblStylePr>
    <w:tblStylePr w:type="lastCol">
      <w:rPr>
        <w:b/>
        <w:bCs/>
        <w:i w:val="0"/>
        <w:iCs w:val="0"/>
        <w:color w:val="FFFFFF" w:themeColor="background1"/>
      </w:rPr>
      <w:tblPr/>
      <w:tcPr>
        <w:tcBorders>
          <w:top w:val="none" w:sz="4" w:space="0" w:color="000000"/>
          <w:left w:val="single" w:sz="24" w:space="0" w:color="FFFFFF" w:themeColor="background1"/>
          <w:bottom w:val="none" w:sz="4" w:space="0" w:color="000000"/>
          <w:right w:val="none" w:sz="4" w:space="0" w:color="000000"/>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808080" w:themeFill="text1" w:themeFillTint="7F"/>
      </w:tcPr>
    </w:tblStylePr>
  </w:style>
  <w:style w:type="table" w:styleId="3-1">
    <w:name w:val="Medium Grid 3 Accent 1"/>
    <w:basedOn w:val="a3"/>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tcBorders>
        <w:shd w:val="clear" w:color="auto" w:fill="4F81BD" w:themeFill="accent1"/>
      </w:tcPr>
    </w:tblStylePr>
    <w:tblStylePr w:type="lastCol">
      <w:rPr>
        <w:b/>
        <w:bCs/>
        <w:i w:val="0"/>
        <w:iCs w:val="0"/>
        <w:color w:val="FFFFFF" w:themeColor="background1"/>
      </w:rPr>
      <w:tblPr/>
      <w:tcPr>
        <w:tcBorders>
          <w:top w:val="none" w:sz="4" w:space="0" w:color="000000"/>
          <w:left w:val="single" w:sz="24" w:space="0" w:color="FFFFFF" w:themeColor="background1"/>
          <w:bottom w:val="none" w:sz="4" w:space="0" w:color="000000"/>
          <w:right w:val="none" w:sz="4" w:space="0" w:color="000000"/>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7BFDE" w:themeFill="accent1" w:themeFillTint="7F"/>
      </w:tcPr>
    </w:tblStylePr>
  </w:style>
  <w:style w:type="table" w:styleId="3-2">
    <w:name w:val="Medium Grid 3 Accent 2"/>
    <w:basedOn w:val="a3"/>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tcBorders>
        <w:shd w:val="clear" w:color="auto" w:fill="C0504D" w:themeFill="accent2"/>
      </w:tcPr>
    </w:tblStylePr>
    <w:tblStylePr w:type="lastCol">
      <w:rPr>
        <w:b/>
        <w:bCs/>
        <w:i w:val="0"/>
        <w:iCs w:val="0"/>
        <w:color w:val="FFFFFF" w:themeColor="background1"/>
      </w:rPr>
      <w:tblPr/>
      <w:tcPr>
        <w:tcBorders>
          <w:top w:val="none" w:sz="4" w:space="0" w:color="000000"/>
          <w:left w:val="single" w:sz="24" w:space="0" w:color="FFFFFF" w:themeColor="background1"/>
          <w:bottom w:val="none" w:sz="4" w:space="0" w:color="000000"/>
          <w:right w:val="none" w:sz="4" w:space="0" w:color="000000"/>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FA7A6" w:themeFill="accent2" w:themeFillTint="7F"/>
      </w:tcPr>
    </w:tblStylePr>
  </w:style>
  <w:style w:type="table" w:styleId="3-3">
    <w:name w:val="Medium Grid 3 Accent 3"/>
    <w:basedOn w:val="a3"/>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tcBorders>
        <w:shd w:val="clear" w:color="auto" w:fill="9BBB59" w:themeFill="accent3"/>
      </w:tcPr>
    </w:tblStylePr>
    <w:tblStylePr w:type="lastCol">
      <w:rPr>
        <w:b/>
        <w:bCs/>
        <w:i w:val="0"/>
        <w:iCs w:val="0"/>
        <w:color w:val="FFFFFF" w:themeColor="background1"/>
      </w:rPr>
      <w:tblPr/>
      <w:tcPr>
        <w:tcBorders>
          <w:top w:val="none" w:sz="4" w:space="0" w:color="000000"/>
          <w:left w:val="single" w:sz="24" w:space="0" w:color="FFFFFF" w:themeColor="background1"/>
          <w:bottom w:val="none" w:sz="4" w:space="0" w:color="000000"/>
          <w:right w:val="none" w:sz="4" w:space="0" w:color="000000"/>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DDDAC" w:themeFill="accent3" w:themeFillTint="7F"/>
      </w:tcPr>
    </w:tblStylePr>
  </w:style>
  <w:style w:type="table" w:styleId="3-4">
    <w:name w:val="Medium Grid 3 Accent 4"/>
    <w:basedOn w:val="a3"/>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tcBorders>
        <w:shd w:val="clear" w:color="auto" w:fill="8064A2" w:themeFill="accent4"/>
      </w:tcPr>
    </w:tblStylePr>
    <w:tblStylePr w:type="lastCol">
      <w:rPr>
        <w:b/>
        <w:bCs/>
        <w:i w:val="0"/>
        <w:iCs w:val="0"/>
        <w:color w:val="FFFFFF" w:themeColor="background1"/>
      </w:rPr>
      <w:tblPr/>
      <w:tcPr>
        <w:tcBorders>
          <w:top w:val="none" w:sz="4" w:space="0" w:color="000000"/>
          <w:left w:val="single" w:sz="24" w:space="0" w:color="FFFFFF" w:themeColor="background1"/>
          <w:bottom w:val="none" w:sz="4" w:space="0" w:color="000000"/>
          <w:right w:val="none" w:sz="4" w:space="0" w:color="000000"/>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FB1D0" w:themeFill="accent4" w:themeFillTint="7F"/>
      </w:tcPr>
    </w:tblStylePr>
  </w:style>
  <w:style w:type="table" w:styleId="3-5">
    <w:name w:val="Medium Grid 3 Accent 5"/>
    <w:basedOn w:val="a3"/>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tcBorders>
        <w:shd w:val="clear" w:color="auto" w:fill="4BACC6" w:themeFill="accent5"/>
      </w:tcPr>
    </w:tblStylePr>
    <w:tblStylePr w:type="lastCol">
      <w:rPr>
        <w:b/>
        <w:bCs/>
        <w:i w:val="0"/>
        <w:iCs w:val="0"/>
        <w:color w:val="FFFFFF" w:themeColor="background1"/>
      </w:rPr>
      <w:tblPr/>
      <w:tcPr>
        <w:tcBorders>
          <w:top w:val="none" w:sz="4" w:space="0" w:color="000000"/>
          <w:left w:val="single" w:sz="24" w:space="0" w:color="FFFFFF" w:themeColor="background1"/>
          <w:bottom w:val="none" w:sz="4" w:space="0" w:color="000000"/>
          <w:right w:val="none" w:sz="4" w:space="0" w:color="000000"/>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5D5E2" w:themeFill="accent5" w:themeFillTint="7F"/>
      </w:tcPr>
    </w:tblStylePr>
  </w:style>
  <w:style w:type="table" w:styleId="3-6">
    <w:name w:val="Medium Grid 3 Accent 6"/>
    <w:basedOn w:val="a3"/>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tcBorders>
        <w:shd w:val="clear" w:color="auto" w:fill="F79646" w:themeFill="accent6"/>
      </w:tcPr>
    </w:tblStylePr>
    <w:tblStylePr w:type="lastCol">
      <w:rPr>
        <w:b/>
        <w:bCs/>
        <w:i w:val="0"/>
        <w:iCs w:val="0"/>
        <w:color w:val="FFFFFF" w:themeColor="background1"/>
      </w:rPr>
      <w:tblPr/>
      <w:tcPr>
        <w:tcBorders>
          <w:top w:val="none" w:sz="4" w:space="0" w:color="000000"/>
          <w:left w:val="single" w:sz="24" w:space="0" w:color="FFFFFF" w:themeColor="background1"/>
          <w:bottom w:val="none" w:sz="4" w:space="0" w:color="000000"/>
          <w:right w:val="none" w:sz="4" w:space="0" w:color="000000"/>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BCAA2" w:themeFill="accent6" w:themeFillTint="7F"/>
      </w:tcPr>
    </w:tblStylePr>
  </w:style>
  <w:style w:type="table" w:styleId="affc">
    <w:name w:val="Dark List"/>
    <w:basedOn w:val="a3"/>
    <w:uiPriority w:val="7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one" w:sz="4" w:space="0" w:color="000000"/>
          <w:left w:val="none" w:sz="4" w:space="0" w:color="000000"/>
          <w:bottom w:val="single" w:sz="18" w:space="0" w:color="FFFFFF" w:themeColor="background1"/>
          <w:right w:val="none" w:sz="4" w:space="0" w:color="000000"/>
        </w:tcBorders>
        <w:shd w:val="clear" w:color="auto" w:fill="000000" w:themeFill="text1"/>
      </w:tcPr>
    </w:tblStylePr>
    <w:tblStylePr w:type="lastRow">
      <w:tblPr/>
      <w:tcPr>
        <w:tcBorders>
          <w:top w:val="single" w:sz="18" w:space="0" w:color="FFFFFF" w:themeColor="background1"/>
          <w:left w:val="none" w:sz="4" w:space="0" w:color="000000"/>
          <w:bottom w:val="none" w:sz="4" w:space="0" w:color="000000"/>
          <w:right w:val="none" w:sz="4" w:space="0" w:color="000000"/>
        </w:tcBorders>
        <w:shd w:val="clear" w:color="auto" w:fill="000000" w:themeFill="text1" w:themeFillShade="7F"/>
      </w:tcPr>
    </w:tblStylePr>
    <w:tblStylePr w:type="firstCol">
      <w:tblPr/>
      <w:tcPr>
        <w:tcBorders>
          <w:top w:val="none" w:sz="4" w:space="0" w:color="000000"/>
          <w:left w:val="none" w:sz="4" w:space="0" w:color="000000"/>
          <w:bottom w:val="none" w:sz="4" w:space="0" w:color="000000"/>
          <w:right w:val="single" w:sz="18" w:space="0" w:color="FFFFFF" w:themeColor="background1"/>
        </w:tcBorders>
        <w:shd w:val="clear" w:color="auto" w:fill="000000" w:themeFill="text1" w:themeFillShade="BF"/>
      </w:tcPr>
    </w:tblStylePr>
    <w:tblStylePr w:type="lastCol">
      <w:tblPr/>
      <w:tcPr>
        <w:tcBorders>
          <w:top w:val="none" w:sz="4" w:space="0" w:color="000000"/>
          <w:left w:val="single" w:sz="18" w:space="0" w:color="FFFFFF" w:themeColor="background1"/>
          <w:bottom w:val="none" w:sz="4" w:space="0" w:color="000000"/>
          <w:right w:val="none" w:sz="4" w:space="0" w:color="000000"/>
        </w:tcBorders>
        <w:shd w:val="clear" w:color="auto" w:fill="000000" w:themeFill="text1" w:themeFillShade="BF"/>
      </w:tcPr>
    </w:tblStylePr>
    <w:tblStylePr w:type="band1Vert">
      <w:tblPr/>
      <w:tcPr>
        <w:tcBorders>
          <w:top w:val="none" w:sz="4" w:space="0" w:color="000000"/>
          <w:left w:val="none" w:sz="4" w:space="0" w:color="000000"/>
          <w:bottom w:val="none" w:sz="4" w:space="0" w:color="000000"/>
          <w:right w:val="none" w:sz="4" w:space="0" w:color="000000"/>
        </w:tcBorders>
        <w:shd w:val="clear" w:color="auto" w:fill="000000" w:themeFill="text1" w:themeFillShade="BF"/>
      </w:tcPr>
    </w:tblStylePr>
    <w:tblStylePr w:type="band1Horz">
      <w:tblPr/>
      <w:tcPr>
        <w:tcBorders>
          <w:top w:val="none" w:sz="4" w:space="0" w:color="000000"/>
          <w:left w:val="none" w:sz="4" w:space="0" w:color="000000"/>
          <w:bottom w:val="none" w:sz="4" w:space="0" w:color="000000"/>
          <w:right w:val="none" w:sz="4" w:space="0" w:color="000000"/>
        </w:tcBorders>
        <w:shd w:val="clear" w:color="auto" w:fill="000000" w:themeFill="text1" w:themeFillShade="BF"/>
      </w:tcPr>
    </w:tblStylePr>
  </w:style>
  <w:style w:type="table" w:styleId="-14">
    <w:name w:val="Dark List Accent 1"/>
    <w:basedOn w:val="a3"/>
    <w:uiPriority w:val="70"/>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one" w:sz="4" w:space="0" w:color="000000"/>
          <w:left w:val="none" w:sz="4" w:space="0" w:color="000000"/>
          <w:bottom w:val="single" w:sz="18" w:space="0" w:color="FFFFFF" w:themeColor="background1"/>
          <w:right w:val="none" w:sz="4" w:space="0" w:color="000000"/>
        </w:tcBorders>
        <w:shd w:val="clear" w:color="auto" w:fill="000000" w:themeFill="text1"/>
      </w:tcPr>
    </w:tblStylePr>
    <w:tblStylePr w:type="lastRow">
      <w:tblPr/>
      <w:tcPr>
        <w:tcBorders>
          <w:top w:val="single" w:sz="18" w:space="0" w:color="FFFFFF" w:themeColor="background1"/>
          <w:left w:val="none" w:sz="4" w:space="0" w:color="000000"/>
          <w:bottom w:val="none" w:sz="4" w:space="0" w:color="000000"/>
          <w:right w:val="none" w:sz="4" w:space="0" w:color="000000"/>
        </w:tcBorders>
        <w:shd w:val="clear" w:color="auto" w:fill="243F60" w:themeFill="accent1" w:themeFillShade="7F"/>
      </w:tcPr>
    </w:tblStylePr>
    <w:tblStylePr w:type="firstCol">
      <w:tblPr/>
      <w:tcPr>
        <w:tcBorders>
          <w:top w:val="none" w:sz="4" w:space="0" w:color="000000"/>
          <w:left w:val="none" w:sz="4" w:space="0" w:color="000000"/>
          <w:bottom w:val="none" w:sz="4" w:space="0" w:color="000000"/>
          <w:right w:val="single" w:sz="18" w:space="0" w:color="FFFFFF" w:themeColor="background1"/>
        </w:tcBorders>
        <w:shd w:val="clear" w:color="auto" w:fill="365F91" w:themeFill="accent1" w:themeFillShade="BF"/>
      </w:tcPr>
    </w:tblStylePr>
    <w:tblStylePr w:type="lastCol">
      <w:tblPr/>
      <w:tcPr>
        <w:tcBorders>
          <w:top w:val="none" w:sz="4" w:space="0" w:color="000000"/>
          <w:left w:val="single" w:sz="18" w:space="0" w:color="FFFFFF" w:themeColor="background1"/>
          <w:bottom w:val="none" w:sz="4" w:space="0" w:color="000000"/>
          <w:right w:val="none" w:sz="4" w:space="0" w:color="000000"/>
        </w:tcBorders>
        <w:shd w:val="clear" w:color="auto" w:fill="365F91" w:themeFill="accent1" w:themeFillShade="BF"/>
      </w:tcPr>
    </w:tblStylePr>
    <w:tblStylePr w:type="band1Vert">
      <w:tblPr/>
      <w:tcPr>
        <w:tcBorders>
          <w:top w:val="none" w:sz="4" w:space="0" w:color="000000"/>
          <w:left w:val="none" w:sz="4" w:space="0" w:color="000000"/>
          <w:bottom w:val="none" w:sz="4" w:space="0" w:color="000000"/>
          <w:right w:val="none" w:sz="4" w:space="0" w:color="000000"/>
        </w:tcBorders>
        <w:shd w:val="clear" w:color="auto" w:fill="365F91" w:themeFill="accent1" w:themeFillShade="BF"/>
      </w:tcPr>
    </w:tblStylePr>
    <w:tblStylePr w:type="band1Horz">
      <w:tblPr/>
      <w:tcPr>
        <w:tcBorders>
          <w:top w:val="none" w:sz="4" w:space="0" w:color="000000"/>
          <w:left w:val="none" w:sz="4" w:space="0" w:color="000000"/>
          <w:bottom w:val="none" w:sz="4" w:space="0" w:color="000000"/>
          <w:right w:val="none" w:sz="4" w:space="0" w:color="000000"/>
        </w:tcBorders>
        <w:shd w:val="clear" w:color="auto" w:fill="365F91" w:themeFill="accent1" w:themeFillShade="BF"/>
      </w:tcPr>
    </w:tblStylePr>
  </w:style>
  <w:style w:type="table" w:styleId="-24">
    <w:name w:val="Dark List Accent 2"/>
    <w:basedOn w:val="a3"/>
    <w:uiPriority w:val="70"/>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one" w:sz="4" w:space="0" w:color="000000"/>
          <w:left w:val="none" w:sz="4" w:space="0" w:color="000000"/>
          <w:bottom w:val="single" w:sz="18" w:space="0" w:color="FFFFFF" w:themeColor="background1"/>
          <w:right w:val="none" w:sz="4" w:space="0" w:color="000000"/>
        </w:tcBorders>
        <w:shd w:val="clear" w:color="auto" w:fill="000000" w:themeFill="text1"/>
      </w:tcPr>
    </w:tblStylePr>
    <w:tblStylePr w:type="lastRow">
      <w:tblPr/>
      <w:tcPr>
        <w:tcBorders>
          <w:top w:val="single" w:sz="18" w:space="0" w:color="FFFFFF" w:themeColor="background1"/>
          <w:left w:val="none" w:sz="4" w:space="0" w:color="000000"/>
          <w:bottom w:val="none" w:sz="4" w:space="0" w:color="000000"/>
          <w:right w:val="none" w:sz="4" w:space="0" w:color="000000"/>
        </w:tcBorders>
        <w:shd w:val="clear" w:color="auto" w:fill="622423" w:themeFill="accent2" w:themeFillShade="7F"/>
      </w:tcPr>
    </w:tblStylePr>
    <w:tblStylePr w:type="firstCol">
      <w:tblPr/>
      <w:tcPr>
        <w:tcBorders>
          <w:top w:val="none" w:sz="4" w:space="0" w:color="000000"/>
          <w:left w:val="none" w:sz="4" w:space="0" w:color="000000"/>
          <w:bottom w:val="none" w:sz="4" w:space="0" w:color="000000"/>
          <w:right w:val="single" w:sz="18" w:space="0" w:color="FFFFFF" w:themeColor="background1"/>
        </w:tcBorders>
        <w:shd w:val="clear" w:color="auto" w:fill="943634" w:themeFill="accent2" w:themeFillShade="BF"/>
      </w:tcPr>
    </w:tblStylePr>
    <w:tblStylePr w:type="lastCol">
      <w:tblPr/>
      <w:tcPr>
        <w:tcBorders>
          <w:top w:val="none" w:sz="4" w:space="0" w:color="000000"/>
          <w:left w:val="single" w:sz="18" w:space="0" w:color="FFFFFF" w:themeColor="background1"/>
          <w:bottom w:val="none" w:sz="4" w:space="0" w:color="000000"/>
          <w:right w:val="none" w:sz="4" w:space="0" w:color="000000"/>
        </w:tcBorders>
        <w:shd w:val="clear" w:color="auto" w:fill="943634" w:themeFill="accent2" w:themeFillShade="BF"/>
      </w:tcPr>
    </w:tblStylePr>
    <w:tblStylePr w:type="band1Vert">
      <w:tblPr/>
      <w:tcPr>
        <w:tcBorders>
          <w:top w:val="none" w:sz="4" w:space="0" w:color="000000"/>
          <w:left w:val="none" w:sz="4" w:space="0" w:color="000000"/>
          <w:bottom w:val="none" w:sz="4" w:space="0" w:color="000000"/>
          <w:right w:val="none" w:sz="4" w:space="0" w:color="000000"/>
        </w:tcBorders>
        <w:shd w:val="clear" w:color="auto" w:fill="943634" w:themeFill="accent2" w:themeFillShade="BF"/>
      </w:tcPr>
    </w:tblStylePr>
    <w:tblStylePr w:type="band1Horz">
      <w:tblPr/>
      <w:tcPr>
        <w:tcBorders>
          <w:top w:val="none" w:sz="4" w:space="0" w:color="000000"/>
          <w:left w:val="none" w:sz="4" w:space="0" w:color="000000"/>
          <w:bottom w:val="none" w:sz="4" w:space="0" w:color="000000"/>
          <w:right w:val="none" w:sz="4" w:space="0" w:color="000000"/>
        </w:tcBorders>
        <w:shd w:val="clear" w:color="auto" w:fill="943634" w:themeFill="accent2" w:themeFillShade="BF"/>
      </w:tcPr>
    </w:tblStylePr>
  </w:style>
  <w:style w:type="table" w:styleId="-34">
    <w:name w:val="Dark List Accent 3"/>
    <w:basedOn w:val="a3"/>
    <w:uiPriority w:val="70"/>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one" w:sz="4" w:space="0" w:color="000000"/>
          <w:left w:val="none" w:sz="4" w:space="0" w:color="000000"/>
          <w:bottom w:val="single" w:sz="18" w:space="0" w:color="FFFFFF" w:themeColor="background1"/>
          <w:right w:val="none" w:sz="4" w:space="0" w:color="000000"/>
        </w:tcBorders>
        <w:shd w:val="clear" w:color="auto" w:fill="000000" w:themeFill="text1"/>
      </w:tcPr>
    </w:tblStylePr>
    <w:tblStylePr w:type="lastRow">
      <w:tblPr/>
      <w:tcPr>
        <w:tcBorders>
          <w:top w:val="single" w:sz="18" w:space="0" w:color="FFFFFF" w:themeColor="background1"/>
          <w:left w:val="none" w:sz="4" w:space="0" w:color="000000"/>
          <w:bottom w:val="none" w:sz="4" w:space="0" w:color="000000"/>
          <w:right w:val="none" w:sz="4" w:space="0" w:color="000000"/>
        </w:tcBorders>
        <w:shd w:val="clear" w:color="auto" w:fill="4E6128" w:themeFill="accent3" w:themeFillShade="7F"/>
      </w:tcPr>
    </w:tblStylePr>
    <w:tblStylePr w:type="firstCol">
      <w:tblPr/>
      <w:tcPr>
        <w:tcBorders>
          <w:top w:val="none" w:sz="4" w:space="0" w:color="000000"/>
          <w:left w:val="none" w:sz="4" w:space="0" w:color="000000"/>
          <w:bottom w:val="none" w:sz="4" w:space="0" w:color="000000"/>
          <w:right w:val="single" w:sz="18" w:space="0" w:color="FFFFFF" w:themeColor="background1"/>
        </w:tcBorders>
        <w:shd w:val="clear" w:color="auto" w:fill="76923C" w:themeFill="accent3" w:themeFillShade="BF"/>
      </w:tcPr>
    </w:tblStylePr>
    <w:tblStylePr w:type="lastCol">
      <w:tblPr/>
      <w:tcPr>
        <w:tcBorders>
          <w:top w:val="none" w:sz="4" w:space="0" w:color="000000"/>
          <w:left w:val="single" w:sz="18" w:space="0" w:color="FFFFFF" w:themeColor="background1"/>
          <w:bottom w:val="none" w:sz="4" w:space="0" w:color="000000"/>
          <w:right w:val="none" w:sz="4" w:space="0" w:color="000000"/>
        </w:tcBorders>
        <w:shd w:val="clear" w:color="auto" w:fill="76923C" w:themeFill="accent3" w:themeFillShade="BF"/>
      </w:tcPr>
    </w:tblStylePr>
    <w:tblStylePr w:type="band1Vert">
      <w:tblPr/>
      <w:tcPr>
        <w:tcBorders>
          <w:top w:val="none" w:sz="4" w:space="0" w:color="000000"/>
          <w:left w:val="none" w:sz="4" w:space="0" w:color="000000"/>
          <w:bottom w:val="none" w:sz="4" w:space="0" w:color="000000"/>
          <w:right w:val="none" w:sz="4" w:space="0" w:color="000000"/>
        </w:tcBorders>
        <w:shd w:val="clear" w:color="auto" w:fill="76923C" w:themeFill="accent3" w:themeFillShade="BF"/>
      </w:tcPr>
    </w:tblStylePr>
    <w:tblStylePr w:type="band1Horz">
      <w:tblPr/>
      <w:tcPr>
        <w:tcBorders>
          <w:top w:val="none" w:sz="4" w:space="0" w:color="000000"/>
          <w:left w:val="none" w:sz="4" w:space="0" w:color="000000"/>
          <w:bottom w:val="none" w:sz="4" w:space="0" w:color="000000"/>
          <w:right w:val="none" w:sz="4" w:space="0" w:color="000000"/>
        </w:tcBorders>
        <w:shd w:val="clear" w:color="auto" w:fill="76923C" w:themeFill="accent3" w:themeFillShade="BF"/>
      </w:tcPr>
    </w:tblStylePr>
  </w:style>
  <w:style w:type="table" w:styleId="-44">
    <w:name w:val="Dark List Accent 4"/>
    <w:basedOn w:val="a3"/>
    <w:uiPriority w:val="70"/>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one" w:sz="4" w:space="0" w:color="000000"/>
          <w:left w:val="none" w:sz="4" w:space="0" w:color="000000"/>
          <w:bottom w:val="single" w:sz="18" w:space="0" w:color="FFFFFF" w:themeColor="background1"/>
          <w:right w:val="none" w:sz="4" w:space="0" w:color="000000"/>
        </w:tcBorders>
        <w:shd w:val="clear" w:color="auto" w:fill="000000" w:themeFill="text1"/>
      </w:tcPr>
    </w:tblStylePr>
    <w:tblStylePr w:type="lastRow">
      <w:tblPr/>
      <w:tcPr>
        <w:tcBorders>
          <w:top w:val="single" w:sz="18" w:space="0" w:color="FFFFFF" w:themeColor="background1"/>
          <w:left w:val="none" w:sz="4" w:space="0" w:color="000000"/>
          <w:bottom w:val="none" w:sz="4" w:space="0" w:color="000000"/>
          <w:right w:val="none" w:sz="4" w:space="0" w:color="000000"/>
        </w:tcBorders>
        <w:shd w:val="clear" w:color="auto" w:fill="3F3151" w:themeFill="accent4" w:themeFillShade="7F"/>
      </w:tcPr>
    </w:tblStylePr>
    <w:tblStylePr w:type="firstCol">
      <w:tblPr/>
      <w:tcPr>
        <w:tcBorders>
          <w:top w:val="none" w:sz="4" w:space="0" w:color="000000"/>
          <w:left w:val="none" w:sz="4" w:space="0" w:color="000000"/>
          <w:bottom w:val="none" w:sz="4" w:space="0" w:color="000000"/>
          <w:right w:val="single" w:sz="18" w:space="0" w:color="FFFFFF" w:themeColor="background1"/>
        </w:tcBorders>
        <w:shd w:val="clear" w:color="auto" w:fill="5F497A" w:themeFill="accent4" w:themeFillShade="BF"/>
      </w:tcPr>
    </w:tblStylePr>
    <w:tblStylePr w:type="lastCol">
      <w:tblPr/>
      <w:tcPr>
        <w:tcBorders>
          <w:top w:val="none" w:sz="4" w:space="0" w:color="000000"/>
          <w:left w:val="single" w:sz="18" w:space="0" w:color="FFFFFF" w:themeColor="background1"/>
          <w:bottom w:val="none" w:sz="4" w:space="0" w:color="000000"/>
          <w:right w:val="none" w:sz="4" w:space="0" w:color="000000"/>
        </w:tcBorders>
        <w:shd w:val="clear" w:color="auto" w:fill="5F497A" w:themeFill="accent4" w:themeFillShade="BF"/>
      </w:tcPr>
    </w:tblStylePr>
    <w:tblStylePr w:type="band1Vert">
      <w:tblPr/>
      <w:tcPr>
        <w:tcBorders>
          <w:top w:val="none" w:sz="4" w:space="0" w:color="000000"/>
          <w:left w:val="none" w:sz="4" w:space="0" w:color="000000"/>
          <w:bottom w:val="none" w:sz="4" w:space="0" w:color="000000"/>
          <w:right w:val="none" w:sz="4" w:space="0" w:color="000000"/>
        </w:tcBorders>
        <w:shd w:val="clear" w:color="auto" w:fill="5F497A" w:themeFill="accent4" w:themeFillShade="BF"/>
      </w:tcPr>
    </w:tblStylePr>
    <w:tblStylePr w:type="band1Horz">
      <w:tblPr/>
      <w:tcPr>
        <w:tcBorders>
          <w:top w:val="none" w:sz="4" w:space="0" w:color="000000"/>
          <w:left w:val="none" w:sz="4" w:space="0" w:color="000000"/>
          <w:bottom w:val="none" w:sz="4" w:space="0" w:color="000000"/>
          <w:right w:val="none" w:sz="4" w:space="0" w:color="000000"/>
        </w:tcBorders>
        <w:shd w:val="clear" w:color="auto" w:fill="5F497A" w:themeFill="accent4" w:themeFillShade="BF"/>
      </w:tcPr>
    </w:tblStylePr>
  </w:style>
  <w:style w:type="table" w:styleId="-54">
    <w:name w:val="Dark List Accent 5"/>
    <w:basedOn w:val="a3"/>
    <w:uiPriority w:val="70"/>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one" w:sz="4" w:space="0" w:color="000000"/>
          <w:left w:val="none" w:sz="4" w:space="0" w:color="000000"/>
          <w:bottom w:val="single" w:sz="18" w:space="0" w:color="FFFFFF" w:themeColor="background1"/>
          <w:right w:val="none" w:sz="4" w:space="0" w:color="000000"/>
        </w:tcBorders>
        <w:shd w:val="clear" w:color="auto" w:fill="000000" w:themeFill="text1"/>
      </w:tcPr>
    </w:tblStylePr>
    <w:tblStylePr w:type="lastRow">
      <w:tblPr/>
      <w:tcPr>
        <w:tcBorders>
          <w:top w:val="single" w:sz="18" w:space="0" w:color="FFFFFF" w:themeColor="background1"/>
          <w:left w:val="none" w:sz="4" w:space="0" w:color="000000"/>
          <w:bottom w:val="none" w:sz="4" w:space="0" w:color="000000"/>
          <w:right w:val="none" w:sz="4" w:space="0" w:color="000000"/>
        </w:tcBorders>
        <w:shd w:val="clear" w:color="auto" w:fill="205867" w:themeFill="accent5" w:themeFillShade="7F"/>
      </w:tcPr>
    </w:tblStylePr>
    <w:tblStylePr w:type="firstCol">
      <w:tblPr/>
      <w:tcPr>
        <w:tcBorders>
          <w:top w:val="none" w:sz="4" w:space="0" w:color="000000"/>
          <w:left w:val="none" w:sz="4" w:space="0" w:color="000000"/>
          <w:bottom w:val="none" w:sz="4" w:space="0" w:color="000000"/>
          <w:right w:val="single" w:sz="18" w:space="0" w:color="FFFFFF" w:themeColor="background1"/>
        </w:tcBorders>
        <w:shd w:val="clear" w:color="auto" w:fill="31849B" w:themeFill="accent5" w:themeFillShade="BF"/>
      </w:tcPr>
    </w:tblStylePr>
    <w:tblStylePr w:type="lastCol">
      <w:tblPr/>
      <w:tcPr>
        <w:tcBorders>
          <w:top w:val="none" w:sz="4" w:space="0" w:color="000000"/>
          <w:left w:val="single" w:sz="18" w:space="0" w:color="FFFFFF" w:themeColor="background1"/>
          <w:bottom w:val="none" w:sz="4" w:space="0" w:color="000000"/>
          <w:right w:val="none" w:sz="4" w:space="0" w:color="000000"/>
        </w:tcBorders>
        <w:shd w:val="clear" w:color="auto" w:fill="31849B" w:themeFill="accent5" w:themeFillShade="BF"/>
      </w:tcPr>
    </w:tblStylePr>
    <w:tblStylePr w:type="band1Vert">
      <w:tblPr/>
      <w:tcPr>
        <w:tcBorders>
          <w:top w:val="none" w:sz="4" w:space="0" w:color="000000"/>
          <w:left w:val="none" w:sz="4" w:space="0" w:color="000000"/>
          <w:bottom w:val="none" w:sz="4" w:space="0" w:color="000000"/>
          <w:right w:val="none" w:sz="4" w:space="0" w:color="000000"/>
        </w:tcBorders>
        <w:shd w:val="clear" w:color="auto" w:fill="31849B" w:themeFill="accent5" w:themeFillShade="BF"/>
      </w:tcPr>
    </w:tblStylePr>
    <w:tblStylePr w:type="band1Horz">
      <w:tblPr/>
      <w:tcPr>
        <w:tcBorders>
          <w:top w:val="none" w:sz="4" w:space="0" w:color="000000"/>
          <w:left w:val="none" w:sz="4" w:space="0" w:color="000000"/>
          <w:bottom w:val="none" w:sz="4" w:space="0" w:color="000000"/>
          <w:right w:val="none" w:sz="4" w:space="0" w:color="000000"/>
        </w:tcBorders>
        <w:shd w:val="clear" w:color="auto" w:fill="31849B" w:themeFill="accent5" w:themeFillShade="BF"/>
      </w:tcPr>
    </w:tblStylePr>
  </w:style>
  <w:style w:type="table" w:styleId="-64">
    <w:name w:val="Dark List Accent 6"/>
    <w:basedOn w:val="a3"/>
    <w:uiPriority w:val="70"/>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one" w:sz="4" w:space="0" w:color="000000"/>
          <w:left w:val="none" w:sz="4" w:space="0" w:color="000000"/>
          <w:bottom w:val="single" w:sz="18" w:space="0" w:color="FFFFFF" w:themeColor="background1"/>
          <w:right w:val="none" w:sz="4" w:space="0" w:color="000000"/>
        </w:tcBorders>
        <w:shd w:val="clear" w:color="auto" w:fill="000000" w:themeFill="text1"/>
      </w:tcPr>
    </w:tblStylePr>
    <w:tblStylePr w:type="lastRow">
      <w:tblPr/>
      <w:tcPr>
        <w:tcBorders>
          <w:top w:val="single" w:sz="18" w:space="0" w:color="FFFFFF" w:themeColor="background1"/>
          <w:left w:val="none" w:sz="4" w:space="0" w:color="000000"/>
          <w:bottom w:val="none" w:sz="4" w:space="0" w:color="000000"/>
          <w:right w:val="none" w:sz="4" w:space="0" w:color="000000"/>
        </w:tcBorders>
        <w:shd w:val="clear" w:color="auto" w:fill="974706" w:themeFill="accent6" w:themeFillShade="7F"/>
      </w:tcPr>
    </w:tblStylePr>
    <w:tblStylePr w:type="firstCol">
      <w:tblPr/>
      <w:tcPr>
        <w:tcBorders>
          <w:top w:val="none" w:sz="4" w:space="0" w:color="000000"/>
          <w:left w:val="none" w:sz="4" w:space="0" w:color="000000"/>
          <w:bottom w:val="none" w:sz="4" w:space="0" w:color="000000"/>
          <w:right w:val="single" w:sz="18" w:space="0" w:color="FFFFFF" w:themeColor="background1"/>
        </w:tcBorders>
        <w:shd w:val="clear" w:color="auto" w:fill="E36C0A" w:themeFill="accent6" w:themeFillShade="BF"/>
      </w:tcPr>
    </w:tblStylePr>
    <w:tblStylePr w:type="lastCol">
      <w:tblPr/>
      <w:tcPr>
        <w:tcBorders>
          <w:top w:val="none" w:sz="4" w:space="0" w:color="000000"/>
          <w:left w:val="single" w:sz="18" w:space="0" w:color="FFFFFF" w:themeColor="background1"/>
          <w:bottom w:val="none" w:sz="4" w:space="0" w:color="000000"/>
          <w:right w:val="none" w:sz="4" w:space="0" w:color="000000"/>
        </w:tcBorders>
        <w:shd w:val="clear" w:color="auto" w:fill="E36C0A" w:themeFill="accent6" w:themeFillShade="BF"/>
      </w:tcPr>
    </w:tblStylePr>
    <w:tblStylePr w:type="band1Vert">
      <w:tblPr/>
      <w:tcPr>
        <w:tcBorders>
          <w:top w:val="none" w:sz="4" w:space="0" w:color="000000"/>
          <w:left w:val="none" w:sz="4" w:space="0" w:color="000000"/>
          <w:bottom w:val="none" w:sz="4" w:space="0" w:color="000000"/>
          <w:right w:val="none" w:sz="4" w:space="0" w:color="000000"/>
        </w:tcBorders>
        <w:shd w:val="clear" w:color="auto" w:fill="E36C0A" w:themeFill="accent6" w:themeFillShade="BF"/>
      </w:tcPr>
    </w:tblStylePr>
    <w:tblStylePr w:type="band1Horz">
      <w:tblPr/>
      <w:tcPr>
        <w:tcBorders>
          <w:top w:val="none" w:sz="4" w:space="0" w:color="000000"/>
          <w:left w:val="none" w:sz="4" w:space="0" w:color="000000"/>
          <w:bottom w:val="none" w:sz="4" w:space="0" w:color="000000"/>
          <w:right w:val="none" w:sz="4" w:space="0" w:color="000000"/>
        </w:tcBorders>
        <w:shd w:val="clear" w:color="auto" w:fill="E36C0A" w:themeFill="accent6" w:themeFillShade="BF"/>
      </w:tcPr>
    </w:tblStylePr>
  </w:style>
  <w:style w:type="table" w:styleId="affd">
    <w:name w:val="Colorful Shading"/>
    <w:basedOn w:val="a3"/>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one" w:sz="4" w:space="0" w:color="000000"/>
          <w:left w:val="none" w:sz="4" w:space="0" w:color="000000"/>
          <w:bottom w:val="single" w:sz="24" w:space="0" w:color="C0504D" w:themeColor="accent2"/>
          <w:right w:val="none" w:sz="4" w:space="0" w:color="000000"/>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000000" w:themeFill="text1" w:themeFillShade="99"/>
      </w:tcPr>
    </w:tblStylePr>
    <w:tblStylePr w:type="la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5">
    <w:name w:val="Colorful Shading Accent 1"/>
    <w:basedOn w:val="a3"/>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one" w:sz="4" w:space="0" w:color="000000"/>
          <w:left w:val="none" w:sz="4" w:space="0" w:color="000000"/>
          <w:bottom w:val="single" w:sz="24" w:space="0" w:color="C0504D" w:themeColor="accent2"/>
          <w:right w:val="none" w:sz="4" w:space="0" w:color="000000"/>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2C4C74" w:themeFill="accent1" w:themeFillShade="99"/>
      </w:tcPr>
    </w:tblStylePr>
    <w:tblStylePr w:type="la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5">
    <w:name w:val="Colorful Shading Accent 2"/>
    <w:basedOn w:val="a3"/>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one" w:sz="4" w:space="0" w:color="000000"/>
          <w:left w:val="none" w:sz="4" w:space="0" w:color="000000"/>
          <w:bottom w:val="single" w:sz="24" w:space="0" w:color="C0504D" w:themeColor="accent2"/>
          <w:right w:val="none" w:sz="4" w:space="0" w:color="000000"/>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772C2A" w:themeFill="accent2" w:themeFillShade="99"/>
      </w:tcPr>
    </w:tblStylePr>
    <w:tblStylePr w:type="la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5">
    <w:name w:val="Colorful Shading Accent 3"/>
    <w:basedOn w:val="a3"/>
    <w:uiPriority w:val="71"/>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one" w:sz="4" w:space="0" w:color="000000"/>
          <w:left w:val="none" w:sz="4" w:space="0" w:color="000000"/>
          <w:bottom w:val="single" w:sz="24" w:space="0" w:color="8064A2" w:themeColor="accent4"/>
          <w:right w:val="none" w:sz="4" w:space="0" w:color="000000"/>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5E7530" w:themeFill="accent3" w:themeFillShade="99"/>
      </w:tcPr>
    </w:tblStylePr>
    <w:tblStylePr w:type="la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5">
    <w:name w:val="Colorful Shading Accent 4"/>
    <w:basedOn w:val="a3"/>
    <w:uiPriority w:val="71"/>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one" w:sz="4" w:space="0" w:color="000000"/>
          <w:left w:val="none" w:sz="4" w:space="0" w:color="000000"/>
          <w:bottom w:val="single" w:sz="24" w:space="0" w:color="9BBB59" w:themeColor="accent3"/>
          <w:right w:val="none" w:sz="4" w:space="0" w:color="000000"/>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4C3B62" w:themeFill="accent4" w:themeFillShade="99"/>
      </w:tcPr>
    </w:tblStylePr>
    <w:tblStylePr w:type="la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5">
    <w:name w:val="Colorful Shading Accent 5"/>
    <w:basedOn w:val="a3"/>
    <w:uiPriority w:val="71"/>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one" w:sz="4" w:space="0" w:color="000000"/>
          <w:left w:val="none" w:sz="4" w:space="0" w:color="000000"/>
          <w:bottom w:val="single" w:sz="24" w:space="0" w:color="F79646" w:themeColor="accent6"/>
          <w:right w:val="none" w:sz="4" w:space="0" w:color="000000"/>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276A7C" w:themeFill="accent5" w:themeFillShade="99"/>
      </w:tcPr>
    </w:tblStylePr>
    <w:tblStylePr w:type="la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5">
    <w:name w:val="Colorful Shading Accent 6"/>
    <w:basedOn w:val="a3"/>
    <w:uiPriority w:val="71"/>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one" w:sz="4" w:space="0" w:color="000000"/>
          <w:left w:val="none" w:sz="4" w:space="0" w:color="000000"/>
          <w:bottom w:val="single" w:sz="24" w:space="0" w:color="4BACC6" w:themeColor="accent5"/>
          <w:right w:val="none" w:sz="4" w:space="0" w:color="000000"/>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B65608" w:themeFill="accent6" w:themeFillShade="99"/>
      </w:tcPr>
    </w:tblStylePr>
    <w:tblStylePr w:type="la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e">
    <w:name w:val="Colorful List"/>
    <w:basedOn w:val="a3"/>
    <w:uiPriority w:val="7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one" w:sz="4" w:space="0" w:color="000000"/>
          <w:left w:val="none" w:sz="4" w:space="0" w:color="000000"/>
          <w:bottom w:val="none" w:sz="4" w:space="0" w:color="000000"/>
          <w:right w:val="none" w:sz="4" w:space="0" w:color="000000"/>
        </w:tcBorders>
        <w:shd w:val="clear" w:color="auto" w:fill="C0C0C0" w:themeFill="text1" w:themeFillTint="3F"/>
      </w:tcPr>
    </w:tblStylePr>
    <w:tblStylePr w:type="band1Horz">
      <w:tblPr/>
      <w:tcPr>
        <w:shd w:val="clear" w:color="auto" w:fill="CCCCCC" w:themeFill="text1" w:themeFillTint="33"/>
      </w:tcPr>
    </w:tblStylePr>
  </w:style>
  <w:style w:type="table" w:styleId="-16">
    <w:name w:val="Colorful List Accent 1"/>
    <w:basedOn w:val="a3"/>
    <w:uiPriority w:val="72"/>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one" w:sz="4" w:space="0" w:color="000000"/>
          <w:left w:val="none" w:sz="4" w:space="0" w:color="000000"/>
          <w:bottom w:val="none" w:sz="4" w:space="0" w:color="000000"/>
          <w:right w:val="none" w:sz="4" w:space="0" w:color="000000"/>
        </w:tcBorders>
        <w:shd w:val="clear" w:color="auto" w:fill="D3DFEE" w:themeFill="accent1" w:themeFillTint="3F"/>
      </w:tcPr>
    </w:tblStylePr>
    <w:tblStylePr w:type="band1Horz">
      <w:tblPr/>
      <w:tcPr>
        <w:shd w:val="clear" w:color="auto" w:fill="DBE5F1" w:themeFill="accent1" w:themeFillTint="33"/>
      </w:tcPr>
    </w:tblStylePr>
  </w:style>
  <w:style w:type="table" w:styleId="-26">
    <w:name w:val="Colorful List Accent 2"/>
    <w:basedOn w:val="a3"/>
    <w:uiPriority w:val="72"/>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one" w:sz="4" w:space="0" w:color="000000"/>
          <w:left w:val="none" w:sz="4" w:space="0" w:color="000000"/>
          <w:bottom w:val="none" w:sz="4" w:space="0" w:color="000000"/>
          <w:right w:val="none" w:sz="4" w:space="0" w:color="000000"/>
        </w:tcBorders>
        <w:shd w:val="clear" w:color="auto" w:fill="EFD3D2" w:themeFill="accent2" w:themeFillTint="3F"/>
      </w:tcPr>
    </w:tblStylePr>
    <w:tblStylePr w:type="band1Horz">
      <w:tblPr/>
      <w:tcPr>
        <w:shd w:val="clear" w:color="auto" w:fill="F2DBDB" w:themeFill="accent2" w:themeFillTint="33"/>
      </w:tcPr>
    </w:tblStylePr>
  </w:style>
  <w:style w:type="table" w:styleId="-36">
    <w:name w:val="Colorful List Accent 3"/>
    <w:basedOn w:val="a3"/>
    <w:uiPriority w:val="72"/>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one" w:sz="4" w:space="0" w:color="000000"/>
          <w:left w:val="none" w:sz="4" w:space="0" w:color="000000"/>
          <w:bottom w:val="none" w:sz="4" w:space="0" w:color="000000"/>
          <w:right w:val="none" w:sz="4" w:space="0" w:color="000000"/>
        </w:tcBorders>
        <w:shd w:val="clear" w:color="auto" w:fill="E6EED5" w:themeFill="accent3" w:themeFillTint="3F"/>
      </w:tcPr>
    </w:tblStylePr>
    <w:tblStylePr w:type="band1Horz">
      <w:tblPr/>
      <w:tcPr>
        <w:shd w:val="clear" w:color="auto" w:fill="EAF1DD" w:themeFill="accent3" w:themeFillTint="33"/>
      </w:tcPr>
    </w:tblStylePr>
  </w:style>
  <w:style w:type="table" w:styleId="-46">
    <w:name w:val="Colorful List Accent 4"/>
    <w:basedOn w:val="a3"/>
    <w:uiPriority w:val="72"/>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one" w:sz="4" w:space="0" w:color="000000"/>
          <w:left w:val="none" w:sz="4" w:space="0" w:color="000000"/>
          <w:bottom w:val="none" w:sz="4" w:space="0" w:color="000000"/>
          <w:right w:val="none" w:sz="4" w:space="0" w:color="000000"/>
        </w:tcBorders>
        <w:shd w:val="clear" w:color="auto" w:fill="DFD8E8" w:themeFill="accent4" w:themeFillTint="3F"/>
      </w:tcPr>
    </w:tblStylePr>
    <w:tblStylePr w:type="band1Horz">
      <w:tblPr/>
      <w:tcPr>
        <w:shd w:val="clear" w:color="auto" w:fill="E5DFEC" w:themeFill="accent4" w:themeFillTint="33"/>
      </w:tcPr>
    </w:tblStylePr>
  </w:style>
  <w:style w:type="table" w:styleId="-56">
    <w:name w:val="Colorful List Accent 5"/>
    <w:basedOn w:val="a3"/>
    <w:uiPriority w:val="72"/>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one" w:sz="4" w:space="0" w:color="000000"/>
          <w:left w:val="none" w:sz="4" w:space="0" w:color="000000"/>
          <w:bottom w:val="none" w:sz="4" w:space="0" w:color="000000"/>
          <w:right w:val="none" w:sz="4" w:space="0" w:color="000000"/>
        </w:tcBorders>
        <w:shd w:val="clear" w:color="auto" w:fill="D2EAF1" w:themeFill="accent5" w:themeFillTint="3F"/>
      </w:tcPr>
    </w:tblStylePr>
    <w:tblStylePr w:type="band1Horz">
      <w:tblPr/>
      <w:tcPr>
        <w:shd w:val="clear" w:color="auto" w:fill="DAEEF3" w:themeFill="accent5" w:themeFillTint="33"/>
      </w:tcPr>
    </w:tblStylePr>
  </w:style>
  <w:style w:type="table" w:styleId="-66">
    <w:name w:val="Colorful List Accent 6"/>
    <w:basedOn w:val="a3"/>
    <w:uiPriority w:val="72"/>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one" w:sz="4" w:space="0" w:color="000000"/>
          <w:left w:val="none" w:sz="4" w:space="0" w:color="000000"/>
          <w:bottom w:val="none" w:sz="4" w:space="0" w:color="000000"/>
          <w:right w:val="none" w:sz="4" w:space="0" w:color="000000"/>
        </w:tcBorders>
        <w:shd w:val="clear" w:color="auto" w:fill="FDE4D0" w:themeFill="accent6" w:themeFillTint="3F"/>
      </w:tcPr>
    </w:tblStylePr>
    <w:tblStylePr w:type="band1Horz">
      <w:tblPr/>
      <w:tcPr>
        <w:shd w:val="clear" w:color="auto" w:fill="FDE9D9" w:themeFill="accent6" w:themeFillTint="33"/>
      </w:tcPr>
    </w:tblStylePr>
  </w:style>
  <w:style w:type="table" w:styleId="afff">
    <w:name w:val="Colorful Grid"/>
    <w:basedOn w:val="a3"/>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7">
    <w:name w:val="Colorful Grid Accent 1"/>
    <w:basedOn w:val="a3"/>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7">
    <w:name w:val="Colorful Grid Accent 2"/>
    <w:basedOn w:val="a3"/>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7">
    <w:name w:val="Colorful Grid Accent 3"/>
    <w:basedOn w:val="a3"/>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7">
    <w:name w:val="Colorful Grid Accent 4"/>
    <w:basedOn w:val="a3"/>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7">
    <w:name w:val="Colorful Grid Accent 5"/>
    <w:basedOn w:val="a3"/>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7">
    <w:name w:val="Colorful Grid Accent 6"/>
    <w:basedOn w:val="a3"/>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f0">
    <w:name w:val="Hyperlink"/>
    <w:basedOn w:val="a2"/>
    <w:uiPriority w:val="99"/>
    <w:unhideWhenUsed/>
    <w:rPr>
      <w:color w:val="0000FF" w:themeColor="hyperlink"/>
      <w:u w:val="single"/>
    </w:rPr>
  </w:style>
  <w:style w:type="character" w:styleId="afff1">
    <w:name w:val="Unresolved Mention"/>
    <w:basedOn w:val="a2"/>
    <w:uiPriority w:val="99"/>
    <w:semiHidden/>
    <w:unhideWhenUsed/>
    <w:rPr>
      <w:color w:val="605E5C"/>
      <w:shd w:val="clear" w:color="auto" w:fill="E1DFDD"/>
    </w:rPr>
  </w:style>
  <w:style w:type="character" w:styleId="afff2">
    <w:name w:val="FollowedHyperlink"/>
    <w:basedOn w:val="a2"/>
    <w:uiPriority w:val="99"/>
    <w:semiHidden/>
    <w:unhideWhenUse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tantorgi.ru/" TargetMode="External"/><Relationship Id="rId13" Type="http://schemas.openxmlformats.org/officeDocument/2006/relationships/hyperlink" Target="mailto:info@stan-torgi.ru" TargetMode="External"/><Relationship Id="rId18" Type="http://schemas.openxmlformats.org/officeDocument/2006/relationships/hyperlink" Target="mailto:support@stan-torgi.r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support@stan-torgi.ru" TargetMode="External"/><Relationship Id="rId17" Type="http://schemas.openxmlformats.org/officeDocument/2006/relationships/hyperlink" Target="mailto:info@stan-torgi.ru" TargetMode="External"/><Relationship Id="rId2" Type="http://schemas.openxmlformats.org/officeDocument/2006/relationships/numbering" Target="numbering.xml"/><Relationship Id="rId16" Type="http://schemas.openxmlformats.org/officeDocument/2006/relationships/hyperlink" Target="mailto:support@stan-torgi.r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tan-torgi.ru/" TargetMode="External"/><Relationship Id="rId5" Type="http://schemas.openxmlformats.org/officeDocument/2006/relationships/webSettings" Target="webSettings.xml"/><Relationship Id="rId15" Type="http://schemas.openxmlformats.org/officeDocument/2006/relationships/hyperlink" Target="https://stan-torgi.ru/" TargetMode="External"/><Relationship Id="rId10" Type="http://schemas.openxmlformats.org/officeDocument/2006/relationships/hyperlink" Target="https://stantorgi.ru/" TargetMode="External"/><Relationship Id="rId19" Type="http://schemas.openxmlformats.org/officeDocument/2006/relationships/hyperlink" Target="mailto:info@stan-torgi.ru" TargetMode="External"/><Relationship Id="rId4" Type="http://schemas.openxmlformats.org/officeDocument/2006/relationships/settings" Target="settings.xml"/><Relationship Id="rId9" Type="http://schemas.openxmlformats.org/officeDocument/2006/relationships/hyperlink" Target="https://stan-torgi.ru/" TargetMode="External"/><Relationship Id="rId14" Type="http://schemas.openxmlformats.org/officeDocument/2006/relationships/hyperlink" Target="https://stantorgi.ru/"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Liberation Sans"/>
        <a:cs typeface="Liberation Sans"/>
      </a:majorFont>
      <a:minorFont>
        <a:latin typeface="Cambria"/>
        <a:ea typeface="Liberation Sans"/>
        <a:cs typeface="Liberation Sans"/>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15</Pages>
  <Words>7175</Words>
  <Characters>40902</Characters>
  <Application>Microsoft Office Word</Application>
  <DocSecurity>0</DocSecurity>
  <Lines>340</Lines>
  <Paragraphs>95</Paragraphs>
  <ScaleCrop>false</ScaleCrop>
  <HeadingPairs>
    <vt:vector size="2" baseType="variant">
      <vt:variant>
        <vt:lpstr>Название</vt:lpstr>
      </vt:variant>
      <vt:variant>
        <vt:i4>1</vt:i4>
      </vt:variant>
    </vt:vector>
  </HeadingPairs>
  <TitlesOfParts>
    <vt:vector size="1" baseType="lpstr">
      <vt:lpstr/>
    </vt:vector>
  </TitlesOfParts>
  <Manager/>
  <Company/>
  <LinksUpToDate>false</LinksUpToDate>
  <CharactersWithSpaces>47982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23</cp:revision>
  <dcterms:created xsi:type="dcterms:W3CDTF">2013-12-23T23:15:00Z</dcterms:created>
  <dcterms:modified xsi:type="dcterms:W3CDTF">2026-09-17T06:31:00Z</dcterms:modified>
  <cp:category/>
</cp:coreProperties>
</file>