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42EB3" w14:textId="77777777" w:rsidR="000260A9" w:rsidRDefault="00000000">
      <w:pPr>
        <w:spacing w:after="40"/>
        <w:jc w:val="right"/>
        <w:rPr>
          <w:lang w:val="ru-RU"/>
        </w:rPr>
      </w:pPr>
      <w:r>
        <w:rPr>
          <w:lang w:val="ru-RU"/>
        </w:rPr>
        <w:t>Приложение № 8 к Пользовательскому соглашению</w:t>
      </w:r>
    </w:p>
    <w:p w14:paraId="72805F7E" w14:textId="77777777" w:rsidR="000260A9" w:rsidRDefault="000260A9">
      <w:pPr>
        <w:spacing w:after="40"/>
        <w:jc w:val="right"/>
        <w:rPr>
          <w:lang w:val="ru-RU"/>
        </w:rPr>
      </w:pPr>
    </w:p>
    <w:p w14:paraId="41DC5624" w14:textId="77777777" w:rsidR="000260A9" w:rsidRDefault="00000000">
      <w:pPr>
        <w:spacing w:after="160"/>
        <w:jc w:val="center"/>
        <w:rPr>
          <w:lang w:val="ru-RU"/>
        </w:rPr>
      </w:pPr>
      <w:r>
        <w:rPr>
          <w:b/>
          <w:sz w:val="26"/>
          <w:lang w:val="ru-RU"/>
        </w:rPr>
        <w:t>ТАРИФЫ ОПЕРАТОРА</w:t>
      </w:r>
      <w:r>
        <w:rPr>
          <w:b/>
          <w:sz w:val="26"/>
          <w:lang w:val="ru-RU"/>
        </w:rPr>
        <w:br/>
        <w:t>ЭТП «СТАН-Торги»</w:t>
      </w:r>
    </w:p>
    <w:p w14:paraId="3CE1762D" w14:textId="77777777" w:rsidR="000260A9" w:rsidRDefault="00000000">
      <w:pPr>
        <w:spacing w:after="120"/>
        <w:ind w:firstLine="567"/>
        <w:jc w:val="both"/>
        <w:rPr>
          <w:lang w:val="ru-RU"/>
        </w:rPr>
      </w:pPr>
      <w:r>
        <w:rPr>
          <w:lang w:val="ru-RU"/>
        </w:rPr>
        <w:t xml:space="preserve">1. Настоящие Тарифы являются Приложением № 8 к Пользовательскому соглашению о предоставлении права использования функциональных возможностей ЭТП «СТАН-Торги» (далее — «Соглашение») и устанавливают стоимость услуг Оператора. Все цены указаны в рублях Российской Федерации и включают налог на добавленную стоимость, если Оператор является плательщиком налога на добавленную стоимость; порядок исчисления налогов определяется законодательством Российской Федерации. </w:t>
      </w:r>
    </w:p>
    <w:p w14:paraId="307F60AF" w14:textId="77777777" w:rsidR="000260A9" w:rsidRDefault="00000000">
      <w:pPr>
        <w:spacing w:after="120"/>
        <w:ind w:firstLine="567"/>
        <w:jc w:val="both"/>
        <w:rPr>
          <w:lang w:val="ru-RU"/>
        </w:rPr>
      </w:pPr>
      <w:r>
        <w:rPr>
          <w:lang w:val="ru-RU"/>
        </w:rPr>
        <w:t>2. Тарифы размещаются на сайте ЭТП «СТАН-Торги» (</w:t>
      </w:r>
      <w:hyperlink r:id="rId8" w:tooltip="https://stantorgi.ru" w:history="1">
        <w:r w:rsidR="000260A9">
          <w:rPr>
            <w:rStyle w:val="afff0"/>
            <w:lang w:val="ru-RU"/>
          </w:rPr>
          <w:t>https://stantorgi.ru</w:t>
        </w:r>
      </w:hyperlink>
      <w:r>
        <w:rPr>
          <w:lang w:val="ru-RU"/>
        </w:rPr>
        <w:t>), на сайте Оператора (</w:t>
      </w:r>
      <w:hyperlink r:id="rId9" w:tooltip="https://stan-torgi.ru" w:history="1">
        <w:r w:rsidR="000260A9">
          <w:rPr>
            <w:rStyle w:val="afff0"/>
            <w:lang w:val="ru-RU"/>
          </w:rPr>
          <w:t>https://stan-torgi.ru</w:t>
        </w:r>
      </w:hyperlink>
      <w:r>
        <w:rPr>
          <w:lang w:val="ru-RU"/>
        </w:rPr>
        <w:t>) и в Личном кабинете Пользователя. Изменения Тарифов вступают в силу не ранее чем через 10 (десять) календарных дней с даты опубликования (пункт 10.2 Соглашения); ранее оплаченные периоды оплачиваются по ранее действовавшим Тарифам.</w:t>
      </w:r>
    </w:p>
    <w:p w14:paraId="21ACE63A" w14:textId="77777777" w:rsidR="000260A9" w:rsidRDefault="00000000">
      <w:pPr>
        <w:spacing w:after="120"/>
        <w:ind w:firstLine="567"/>
        <w:jc w:val="both"/>
        <w:rPr>
          <w:lang w:val="ru-RU"/>
        </w:rPr>
      </w:pPr>
      <w:r>
        <w:rPr>
          <w:lang w:val="ru-RU"/>
        </w:rPr>
        <w:t>3. Для целей настоящих Тарифов Победитель Процедуры — Участник процедуры, с которым по результатам Процедуры заключается договор (в том числе единственный участник, с которым заключается договор) (Приложение № 1 к Соглашению).</w:t>
      </w:r>
    </w:p>
    <w:p w14:paraId="010911F2" w14:textId="77777777" w:rsidR="000260A9" w:rsidRDefault="00000000">
      <w:pPr>
        <w:spacing w:before="160" w:after="120"/>
        <w:ind w:firstLine="567"/>
        <w:jc w:val="both"/>
        <w:rPr>
          <w:lang w:val="ru-RU"/>
        </w:rPr>
      </w:pPr>
      <w:r>
        <w:rPr>
          <w:b/>
          <w:sz w:val="24"/>
          <w:lang w:val="ru-RU"/>
        </w:rPr>
        <w:t>Раздел 1. Тарифы в секции «Закупки по 223-ФЗ»</w:t>
      </w:r>
    </w:p>
    <w:tbl>
      <w:tblPr>
        <w:tblStyle w:val="aff8"/>
        <w:tblW w:w="0" w:type="auto"/>
        <w:jc w:val="center"/>
        <w:tblLayout w:type="fixed"/>
        <w:tblLook w:val="04A0" w:firstRow="1" w:lastRow="0" w:firstColumn="1" w:lastColumn="0" w:noHBand="0" w:noVBand="1"/>
      </w:tblPr>
      <w:tblGrid>
        <w:gridCol w:w="6973"/>
        <w:gridCol w:w="2268"/>
      </w:tblGrid>
      <w:tr w:rsidR="000260A9" w14:paraId="3822A8C2" w14:textId="77777777">
        <w:trPr>
          <w:tblHeader/>
          <w:jc w:val="center"/>
        </w:trPr>
        <w:tc>
          <w:tcPr>
            <w:tcW w:w="6973" w:type="dxa"/>
          </w:tcPr>
          <w:p w14:paraId="54022058" w14:textId="77777777" w:rsidR="000260A9" w:rsidRDefault="00000000">
            <w:pPr>
              <w:jc w:val="center"/>
            </w:pPr>
            <w:proofErr w:type="spellStart"/>
            <w:r>
              <w:rPr>
                <w:b/>
                <w:sz w:val="20"/>
              </w:rPr>
              <w:t>Услуга</w:t>
            </w:r>
            <w:proofErr w:type="spellEnd"/>
          </w:p>
        </w:tc>
        <w:tc>
          <w:tcPr>
            <w:tcW w:w="2268" w:type="dxa"/>
          </w:tcPr>
          <w:p w14:paraId="709FA8FB" w14:textId="77777777" w:rsidR="000260A9" w:rsidRDefault="00000000">
            <w:pPr>
              <w:jc w:val="center"/>
            </w:pPr>
            <w:proofErr w:type="spellStart"/>
            <w:r>
              <w:rPr>
                <w:b/>
                <w:sz w:val="20"/>
              </w:rPr>
              <w:t>Стоимость</w:t>
            </w:r>
            <w:proofErr w:type="spellEnd"/>
          </w:p>
        </w:tc>
      </w:tr>
      <w:tr w:rsidR="000260A9" w14:paraId="0912E7A9" w14:textId="77777777">
        <w:trPr>
          <w:jc w:val="center"/>
        </w:trPr>
        <w:tc>
          <w:tcPr>
            <w:tcW w:w="6973" w:type="dxa"/>
          </w:tcPr>
          <w:p w14:paraId="24B0F2D2" w14:textId="77777777" w:rsidR="000260A9" w:rsidRDefault="00000000">
            <w:proofErr w:type="spellStart"/>
            <w:r>
              <w:rPr>
                <w:sz w:val="20"/>
              </w:rPr>
              <w:t>Стандартная</w:t>
            </w:r>
            <w:proofErr w:type="spellEnd"/>
            <w:r>
              <w:rPr>
                <w:sz w:val="20"/>
              </w:rPr>
              <w:t xml:space="preserve"> </w:t>
            </w:r>
            <w:proofErr w:type="spellStart"/>
            <w:r>
              <w:rPr>
                <w:sz w:val="20"/>
              </w:rPr>
              <w:t>регистрация</w:t>
            </w:r>
            <w:proofErr w:type="spellEnd"/>
            <w:r>
              <w:rPr>
                <w:sz w:val="20"/>
              </w:rPr>
              <w:t xml:space="preserve"> и </w:t>
            </w:r>
            <w:proofErr w:type="spellStart"/>
            <w:r>
              <w:rPr>
                <w:sz w:val="20"/>
              </w:rPr>
              <w:t>аккредитация</w:t>
            </w:r>
            <w:proofErr w:type="spellEnd"/>
          </w:p>
        </w:tc>
        <w:tc>
          <w:tcPr>
            <w:tcW w:w="2268" w:type="dxa"/>
          </w:tcPr>
          <w:p w14:paraId="33601BAF" w14:textId="77777777" w:rsidR="000260A9" w:rsidRDefault="00000000">
            <w:proofErr w:type="spellStart"/>
            <w:r>
              <w:rPr>
                <w:sz w:val="20"/>
              </w:rPr>
              <w:t>бесплатно</w:t>
            </w:r>
            <w:proofErr w:type="spellEnd"/>
          </w:p>
        </w:tc>
      </w:tr>
      <w:tr w:rsidR="000260A9" w14:paraId="40AA65DD" w14:textId="77777777">
        <w:trPr>
          <w:jc w:val="center"/>
        </w:trPr>
        <w:tc>
          <w:tcPr>
            <w:tcW w:w="6973" w:type="dxa"/>
          </w:tcPr>
          <w:p w14:paraId="354E0521" w14:textId="77777777" w:rsidR="000260A9" w:rsidRDefault="00000000">
            <w:pPr>
              <w:rPr>
                <w:lang w:val="ru-RU"/>
              </w:rPr>
            </w:pPr>
            <w:r>
              <w:rPr>
                <w:sz w:val="20"/>
                <w:lang w:val="ru-RU"/>
              </w:rPr>
              <w:t>Аккредитация ускоренная (дополнительная платная услуга; рассмотрение заявки на аккредитацию в течение 1 рабочего дня после оплаты)</w:t>
            </w:r>
          </w:p>
        </w:tc>
        <w:tc>
          <w:tcPr>
            <w:tcW w:w="2268" w:type="dxa"/>
          </w:tcPr>
          <w:p w14:paraId="0D278873" w14:textId="77777777" w:rsidR="000260A9" w:rsidRDefault="00000000">
            <w:r>
              <w:rPr>
                <w:sz w:val="20"/>
              </w:rPr>
              <w:t xml:space="preserve">10 000 </w:t>
            </w:r>
            <w:proofErr w:type="spellStart"/>
            <w:r>
              <w:rPr>
                <w:sz w:val="20"/>
              </w:rPr>
              <w:t>руб</w:t>
            </w:r>
            <w:proofErr w:type="spellEnd"/>
            <w:r>
              <w:rPr>
                <w:sz w:val="20"/>
              </w:rPr>
              <w:t>.</w:t>
            </w:r>
          </w:p>
        </w:tc>
      </w:tr>
      <w:tr w:rsidR="000260A9" w14:paraId="275FCF69" w14:textId="77777777">
        <w:trPr>
          <w:jc w:val="center"/>
        </w:trPr>
        <w:tc>
          <w:tcPr>
            <w:tcW w:w="6973" w:type="dxa"/>
          </w:tcPr>
          <w:p w14:paraId="6412B111" w14:textId="77777777" w:rsidR="000260A9" w:rsidRDefault="00000000">
            <w:proofErr w:type="spellStart"/>
            <w:r>
              <w:rPr>
                <w:sz w:val="20"/>
              </w:rPr>
              <w:t>Организация</w:t>
            </w:r>
            <w:proofErr w:type="spellEnd"/>
            <w:r>
              <w:rPr>
                <w:sz w:val="20"/>
              </w:rPr>
              <w:t xml:space="preserve"> (</w:t>
            </w:r>
            <w:proofErr w:type="spellStart"/>
            <w:r>
              <w:rPr>
                <w:sz w:val="20"/>
              </w:rPr>
              <w:t>размещение</w:t>
            </w:r>
            <w:proofErr w:type="spellEnd"/>
            <w:r>
              <w:rPr>
                <w:sz w:val="20"/>
              </w:rPr>
              <w:t xml:space="preserve">) </w:t>
            </w:r>
            <w:proofErr w:type="spellStart"/>
            <w:r>
              <w:rPr>
                <w:sz w:val="20"/>
              </w:rPr>
              <w:t>Процедуры</w:t>
            </w:r>
            <w:proofErr w:type="spellEnd"/>
          </w:p>
        </w:tc>
        <w:tc>
          <w:tcPr>
            <w:tcW w:w="2268" w:type="dxa"/>
          </w:tcPr>
          <w:p w14:paraId="3C1FB497" w14:textId="77777777" w:rsidR="000260A9" w:rsidRDefault="00000000">
            <w:proofErr w:type="spellStart"/>
            <w:r>
              <w:rPr>
                <w:sz w:val="20"/>
              </w:rPr>
              <w:t>бесплатно</w:t>
            </w:r>
            <w:proofErr w:type="spellEnd"/>
          </w:p>
        </w:tc>
      </w:tr>
      <w:tr w:rsidR="000260A9" w14:paraId="44EDBBB6" w14:textId="77777777">
        <w:trPr>
          <w:jc w:val="center"/>
        </w:trPr>
        <w:tc>
          <w:tcPr>
            <w:tcW w:w="6973" w:type="dxa"/>
          </w:tcPr>
          <w:p w14:paraId="21A4BEB8" w14:textId="77777777" w:rsidR="000260A9" w:rsidRDefault="00000000">
            <w:pPr>
              <w:rPr>
                <w:lang w:val="ru-RU"/>
              </w:rPr>
            </w:pPr>
            <w:r>
              <w:rPr>
                <w:sz w:val="20"/>
                <w:lang w:val="ru-RU"/>
              </w:rPr>
              <w:t>Участие в Процедуре (если индивидуальным тарифом Заказчика не установлена плата за участие)</w:t>
            </w:r>
          </w:p>
        </w:tc>
        <w:tc>
          <w:tcPr>
            <w:tcW w:w="2268" w:type="dxa"/>
          </w:tcPr>
          <w:p w14:paraId="48356EF0" w14:textId="77777777" w:rsidR="000260A9" w:rsidRDefault="00000000">
            <w:proofErr w:type="spellStart"/>
            <w:r>
              <w:rPr>
                <w:sz w:val="20"/>
              </w:rPr>
              <w:t>бесплатно</w:t>
            </w:r>
            <w:proofErr w:type="spellEnd"/>
          </w:p>
        </w:tc>
      </w:tr>
      <w:tr w:rsidR="000260A9" w:rsidRPr="00E70878" w14:paraId="5F114844" w14:textId="77777777">
        <w:trPr>
          <w:jc w:val="center"/>
        </w:trPr>
        <w:tc>
          <w:tcPr>
            <w:tcW w:w="6973" w:type="dxa"/>
          </w:tcPr>
          <w:p w14:paraId="6F471CBE" w14:textId="77777777" w:rsidR="000260A9" w:rsidRDefault="00000000">
            <w:pPr>
              <w:rPr>
                <w:lang w:val="ru-RU"/>
              </w:rPr>
            </w:pPr>
            <w:r>
              <w:rPr>
                <w:sz w:val="20"/>
                <w:lang w:val="ru-RU"/>
              </w:rPr>
              <w:t>Тариф за победу — взимается с Победителя Процедуры (лица, с которым заключается договор) (если иное не установлено индивидуальным тарифом Заказчика)</w:t>
            </w:r>
          </w:p>
        </w:tc>
        <w:tc>
          <w:tcPr>
            <w:tcW w:w="2268" w:type="dxa"/>
          </w:tcPr>
          <w:p w14:paraId="162686E2" w14:textId="77777777" w:rsidR="000260A9" w:rsidRDefault="00000000">
            <w:pPr>
              <w:rPr>
                <w:lang w:val="ru-RU"/>
              </w:rPr>
            </w:pPr>
            <w:r>
              <w:rPr>
                <w:sz w:val="20"/>
                <w:lang w:val="ru-RU"/>
              </w:rPr>
              <w:t>2% от НМЦД (без верхней границы)</w:t>
            </w:r>
          </w:p>
        </w:tc>
      </w:tr>
      <w:tr w:rsidR="000260A9" w14:paraId="00BF7104" w14:textId="77777777">
        <w:trPr>
          <w:jc w:val="center"/>
        </w:trPr>
        <w:tc>
          <w:tcPr>
            <w:tcW w:w="6973" w:type="dxa"/>
          </w:tcPr>
          <w:p w14:paraId="350E5370" w14:textId="77777777" w:rsidR="000260A9" w:rsidRDefault="00000000">
            <w:pPr>
              <w:rPr>
                <w:lang w:val="ru-RU"/>
              </w:rPr>
            </w:pPr>
            <w:r>
              <w:rPr>
                <w:sz w:val="20"/>
                <w:lang w:val="ru-RU"/>
              </w:rPr>
              <w:t>Тариф за победу в Процедурах без НМЦД (с Победителя Процедуры) (если иное не установлено индивидуальным тарифом Заказчика)</w:t>
            </w:r>
          </w:p>
        </w:tc>
        <w:tc>
          <w:tcPr>
            <w:tcW w:w="2268" w:type="dxa"/>
          </w:tcPr>
          <w:p w14:paraId="01A3B766" w14:textId="77777777" w:rsidR="000260A9" w:rsidRDefault="00000000">
            <w:r>
              <w:rPr>
                <w:sz w:val="20"/>
              </w:rPr>
              <w:t xml:space="preserve">10 000 </w:t>
            </w:r>
            <w:proofErr w:type="spellStart"/>
            <w:r>
              <w:rPr>
                <w:sz w:val="20"/>
              </w:rPr>
              <w:t>руб</w:t>
            </w:r>
            <w:proofErr w:type="spellEnd"/>
            <w:r>
              <w:rPr>
                <w:sz w:val="20"/>
              </w:rPr>
              <w:t>.</w:t>
            </w:r>
          </w:p>
        </w:tc>
      </w:tr>
      <w:tr w:rsidR="000260A9" w14:paraId="372EB4CD" w14:textId="77777777">
        <w:trPr>
          <w:jc w:val="center"/>
        </w:trPr>
        <w:tc>
          <w:tcPr>
            <w:tcW w:w="6973" w:type="dxa"/>
          </w:tcPr>
          <w:p w14:paraId="4B5F5955" w14:textId="77777777" w:rsidR="000260A9" w:rsidRDefault="00000000">
            <w:pPr>
              <w:rPr>
                <w:lang w:val="ru-RU"/>
              </w:rPr>
            </w:pPr>
            <w:r>
              <w:rPr>
                <w:sz w:val="20"/>
                <w:lang w:val="ru-RU"/>
              </w:rPr>
              <w:t>Отдельная секция с индивидуальным дизайном (дополнительная услуга, оплачивается по отдельному счёту)</w:t>
            </w:r>
          </w:p>
        </w:tc>
        <w:tc>
          <w:tcPr>
            <w:tcW w:w="2268" w:type="dxa"/>
          </w:tcPr>
          <w:p w14:paraId="23F2DDAB" w14:textId="77777777" w:rsidR="000260A9" w:rsidRDefault="00000000">
            <w:r>
              <w:rPr>
                <w:sz w:val="20"/>
              </w:rPr>
              <w:t xml:space="preserve">30 000 </w:t>
            </w:r>
            <w:proofErr w:type="spellStart"/>
            <w:r>
              <w:rPr>
                <w:sz w:val="20"/>
              </w:rPr>
              <w:t>руб</w:t>
            </w:r>
            <w:proofErr w:type="spellEnd"/>
            <w:r>
              <w:rPr>
                <w:sz w:val="20"/>
              </w:rPr>
              <w:t>.</w:t>
            </w:r>
          </w:p>
        </w:tc>
      </w:tr>
    </w:tbl>
    <w:p w14:paraId="15DAE17C" w14:textId="77777777" w:rsidR="000260A9" w:rsidRDefault="00000000">
      <w:pPr>
        <w:spacing w:before="120" w:after="40"/>
        <w:ind w:firstLine="567"/>
        <w:jc w:val="both"/>
      </w:pPr>
      <w:proofErr w:type="spellStart"/>
      <w:r>
        <w:rPr>
          <w:b/>
          <w:sz w:val="20"/>
        </w:rPr>
        <w:t>Примечания</w:t>
      </w:r>
      <w:proofErr w:type="spellEnd"/>
      <w:r>
        <w:rPr>
          <w:b/>
          <w:sz w:val="20"/>
        </w:rPr>
        <w:t xml:space="preserve"> к </w:t>
      </w:r>
      <w:proofErr w:type="spellStart"/>
      <w:r>
        <w:rPr>
          <w:b/>
          <w:sz w:val="20"/>
        </w:rPr>
        <w:t>разделу</w:t>
      </w:r>
      <w:proofErr w:type="spellEnd"/>
      <w:r>
        <w:rPr>
          <w:b/>
          <w:sz w:val="20"/>
        </w:rPr>
        <w:t xml:space="preserve"> 1:</w:t>
      </w:r>
    </w:p>
    <w:p w14:paraId="090910B1" w14:textId="77777777" w:rsidR="000260A9" w:rsidRDefault="00000000">
      <w:pPr>
        <w:spacing w:after="40"/>
        <w:ind w:firstLine="567"/>
        <w:jc w:val="both"/>
        <w:rPr>
          <w:lang w:val="ru-RU"/>
        </w:rPr>
      </w:pPr>
      <w:r>
        <w:rPr>
          <w:lang w:val="ru-RU"/>
        </w:rPr>
        <w:t>1) Плата за участие в Процедурах в секции «Закупки по 223-ФЗ» с Участников процедур, за исключением Победителя Процедуры, не взимается, если индивидуальным тарифом Заказчика не установлено иное (примечания 4 и 5 к настоящему разделу).</w:t>
      </w:r>
    </w:p>
    <w:p w14:paraId="3BD20415" w14:textId="6FD928F2" w:rsidR="000260A9" w:rsidRDefault="00000000">
      <w:pPr>
        <w:spacing w:after="40"/>
        <w:ind w:firstLine="567"/>
        <w:jc w:val="both"/>
        <w:rPr>
          <w:lang w:val="ru-RU"/>
        </w:rPr>
      </w:pPr>
      <w:r>
        <w:rPr>
          <w:lang w:val="ru-RU"/>
        </w:rPr>
        <w:t xml:space="preserve">2) В Процедуре, разделённой на лоты, тариф за победу исчисляется по каждому лоту, по которому заключается договор, от начальной (максимальной) цены такого лота. Сумма тарифа за победу по лоту блокируется на лицевом счёте Участника процедуры при подаче заявки, списывается с Победителя Процедуры при подведении итогов Процедуры и разблокируется остальным Участникам процедуры в порядке, установленном пунктом 6.2 Приложения № 4 к Соглашению. Плата за участие, если она установлена индивидуальным тарифом Заказчика, списывается с лицевого счёта Участника процедуры при подаче заявки, возвращается при отзыве/отклонении заявки. В случае если законодательством Российской Федерации для закупок, проводимых в соответствии с Федеральным законом № 223-ФЗ, установлены предельные размеры платы, взимаемой операторами электронных площадок, применяются такие предельные размеры.</w:t>
      </w:r>
    </w:p>
    <w:p w14:paraId="02F372CC" w14:textId="77777777" w:rsidR="000260A9" w:rsidRDefault="00000000">
      <w:pPr>
        <w:spacing w:after="120"/>
        <w:ind w:firstLine="567"/>
        <w:jc w:val="both"/>
        <w:rPr>
          <w:lang w:val="ru-RU"/>
        </w:rPr>
      </w:pPr>
      <w:r>
        <w:rPr>
          <w:lang w:val="ru-RU"/>
        </w:rPr>
        <w:t>3) Стандартная процедура аккредитации осуществляется бесплатно; ускоренная аккредитация — дополнительная платная услуга Оператора (пункт 3.2 Соглашения, пункт 2.7 Правил регистрации и аккредитации Пользователей (Приложение № 3)). Ускоренная аккредитация оплачивается по отдельному счёту и с лицевого счёта не списывается.</w:t>
      </w:r>
    </w:p>
    <w:p w14:paraId="5087B56E" w14:textId="1800E86F" w:rsidR="000260A9" w:rsidRDefault="00000000">
      <w:pPr>
        <w:spacing w:after="120"/>
        <w:ind w:firstLine="567"/>
        <w:jc w:val="both"/>
        <w:rPr>
          <w:lang w:val="ru-RU"/>
        </w:rPr>
      </w:pPr>
      <w:r>
        <w:rPr>
          <w:lang w:val="ru-RU"/>
        </w:rPr>
        <w:lastRenderedPageBreak/>
        <w:t xml:space="preserve">4) Для Заказчика по договорённости с Оператором может быть установлен индивидуальный тариф, предусматривающий иной размер платы Оператора и (или) иное основание её взимания: «за победу» (с Победителя Процедуры) либо «за участие» (с каждого Участника процедуры при подаче заявки). </w:t>
      </w:r>
    </w:p>
    <w:p w14:paraId="01481515" w14:textId="77777777" w:rsidR="000260A9" w:rsidRDefault="00000000">
      <w:pPr>
        <w:spacing w:after="120"/>
        <w:ind w:firstLine="567"/>
        <w:jc w:val="both"/>
        <w:rPr>
          <w:lang w:val="ru-RU"/>
        </w:rPr>
      </w:pPr>
      <w:r>
        <w:rPr>
          <w:lang w:val="ru-RU"/>
        </w:rPr>
        <w:t>5) Сведения об индивидуальном тарифе (размер платы Оператора и основание её взимания) указываются и в карточке Процедуры. Если такие сведения не указаны, применяются тарифы, установленные настоящим разделом.</w:t>
      </w:r>
    </w:p>
    <w:p w14:paraId="455D821F" w14:textId="77777777" w:rsidR="000260A9" w:rsidRDefault="00000000">
      <w:pPr>
        <w:spacing w:before="160" w:after="120"/>
        <w:ind w:firstLine="567"/>
        <w:jc w:val="both"/>
        <w:rPr>
          <w:lang w:val="ru-RU"/>
        </w:rPr>
      </w:pPr>
      <w:r>
        <w:rPr>
          <w:b/>
          <w:sz w:val="24"/>
          <w:lang w:val="ru-RU"/>
        </w:rPr>
        <w:t>Раздел 2. Тарифы в секциях «Коммерческие закупки» и «Продажа»</w:t>
      </w:r>
    </w:p>
    <w:p w14:paraId="2F55C1A5" w14:textId="77777777" w:rsidR="000260A9" w:rsidRDefault="00000000">
      <w:pPr>
        <w:spacing w:after="80"/>
        <w:ind w:firstLine="567"/>
        <w:jc w:val="both"/>
        <w:rPr>
          <w:lang w:val="ru-RU"/>
        </w:rPr>
      </w:pPr>
      <w:r>
        <w:rPr>
          <w:lang w:val="ru-RU"/>
        </w:rPr>
        <w:t>Абонентская плата за предоставление доступа к секциям «Коммерческие закупки» и «Продажа» (организация Процедур и участие в них, размещение Объявлений (предварительных предложений) и участие в закупках способом «Электронный магазин» в пределах лимитов периода):</w:t>
      </w:r>
    </w:p>
    <w:p w14:paraId="07F2A8D7" w14:textId="77777777" w:rsidR="000260A9" w:rsidRDefault="000260A9">
      <w:pPr>
        <w:spacing w:after="40"/>
        <w:jc w:val="right"/>
        <w:rPr>
          <w:lang w:val="ru-RU"/>
        </w:rPr>
      </w:pPr>
    </w:p>
    <w:tbl>
      <w:tblPr>
        <w:tblStyle w:val="aff8"/>
        <w:tblW w:w="0" w:type="auto"/>
        <w:jc w:val="center"/>
        <w:tblLayout w:type="fixed"/>
        <w:tblLook w:val="04A0" w:firstRow="1" w:lastRow="0" w:firstColumn="1" w:lastColumn="0" w:noHBand="0" w:noVBand="1"/>
      </w:tblPr>
      <w:tblGrid>
        <w:gridCol w:w="1701"/>
        <w:gridCol w:w="6379"/>
        <w:gridCol w:w="1274"/>
      </w:tblGrid>
      <w:tr w:rsidR="000260A9" w14:paraId="40FE03DE" w14:textId="77777777">
        <w:trPr>
          <w:tblHeader/>
          <w:jc w:val="center"/>
        </w:trPr>
        <w:tc>
          <w:tcPr>
            <w:tcW w:w="1701" w:type="dxa"/>
          </w:tcPr>
          <w:p w14:paraId="0344080A" w14:textId="77777777" w:rsidR="000260A9" w:rsidRDefault="00000000">
            <w:pPr>
              <w:jc w:val="center"/>
            </w:pPr>
            <w:proofErr w:type="spellStart"/>
            <w:r>
              <w:rPr>
                <w:b/>
                <w:sz w:val="20"/>
              </w:rPr>
              <w:t>Период</w:t>
            </w:r>
            <w:proofErr w:type="spellEnd"/>
          </w:p>
        </w:tc>
        <w:tc>
          <w:tcPr>
            <w:tcW w:w="6379" w:type="dxa"/>
          </w:tcPr>
          <w:p w14:paraId="63F5297E" w14:textId="77777777" w:rsidR="000260A9" w:rsidRDefault="00000000">
            <w:pPr>
              <w:jc w:val="center"/>
            </w:pPr>
            <w:proofErr w:type="spellStart"/>
            <w:r>
              <w:rPr>
                <w:b/>
                <w:sz w:val="20"/>
              </w:rPr>
              <w:t>Возможности</w:t>
            </w:r>
            <w:proofErr w:type="spellEnd"/>
          </w:p>
        </w:tc>
        <w:tc>
          <w:tcPr>
            <w:tcW w:w="1274" w:type="dxa"/>
          </w:tcPr>
          <w:p w14:paraId="4F45BA04" w14:textId="77777777" w:rsidR="000260A9" w:rsidRDefault="00000000">
            <w:pPr>
              <w:jc w:val="center"/>
            </w:pPr>
            <w:proofErr w:type="spellStart"/>
            <w:r>
              <w:rPr>
                <w:b/>
                <w:sz w:val="20"/>
              </w:rPr>
              <w:t>Стоимость</w:t>
            </w:r>
            <w:proofErr w:type="spellEnd"/>
          </w:p>
        </w:tc>
      </w:tr>
      <w:tr w:rsidR="000260A9" w14:paraId="3CCD91A9" w14:textId="77777777">
        <w:trPr>
          <w:jc w:val="center"/>
        </w:trPr>
        <w:tc>
          <w:tcPr>
            <w:tcW w:w="1701" w:type="dxa"/>
          </w:tcPr>
          <w:p w14:paraId="6BE7425F" w14:textId="77777777" w:rsidR="000260A9" w:rsidRDefault="00000000">
            <w:r>
              <w:rPr>
                <w:sz w:val="20"/>
              </w:rPr>
              <w:t xml:space="preserve">3 </w:t>
            </w:r>
            <w:proofErr w:type="spellStart"/>
            <w:r>
              <w:rPr>
                <w:sz w:val="20"/>
              </w:rPr>
              <w:t>месяца</w:t>
            </w:r>
            <w:proofErr w:type="spellEnd"/>
          </w:p>
        </w:tc>
        <w:tc>
          <w:tcPr>
            <w:tcW w:w="6379" w:type="dxa"/>
          </w:tcPr>
          <w:p w14:paraId="21EA37D7" w14:textId="77777777" w:rsidR="000260A9" w:rsidRDefault="00000000">
            <w:pPr>
              <w:rPr>
                <w:lang w:val="ru-RU"/>
              </w:rPr>
            </w:pPr>
            <w:r>
              <w:rPr>
                <w:sz w:val="20"/>
                <w:lang w:val="ru-RU"/>
              </w:rPr>
              <w:t>размещение до 5 Объявлений (предварительных предложений); до 5 участий в закупках способом «Электронный магазин»; неограниченное количество организуемых коммерческих Процедур</w:t>
            </w:r>
          </w:p>
        </w:tc>
        <w:tc>
          <w:tcPr>
            <w:tcW w:w="1274" w:type="dxa"/>
          </w:tcPr>
          <w:p w14:paraId="316CFA5D" w14:textId="77777777" w:rsidR="000260A9" w:rsidRDefault="00000000">
            <w:r>
              <w:rPr>
                <w:sz w:val="20"/>
              </w:rPr>
              <w:t xml:space="preserve">8 000 </w:t>
            </w:r>
            <w:proofErr w:type="spellStart"/>
            <w:r>
              <w:rPr>
                <w:sz w:val="20"/>
              </w:rPr>
              <w:t>руб</w:t>
            </w:r>
            <w:proofErr w:type="spellEnd"/>
            <w:r>
              <w:rPr>
                <w:sz w:val="20"/>
              </w:rPr>
              <w:t>.</w:t>
            </w:r>
          </w:p>
        </w:tc>
      </w:tr>
      <w:tr w:rsidR="000260A9" w14:paraId="503DD83F" w14:textId="77777777">
        <w:trPr>
          <w:jc w:val="center"/>
        </w:trPr>
        <w:tc>
          <w:tcPr>
            <w:tcW w:w="1701" w:type="dxa"/>
          </w:tcPr>
          <w:p w14:paraId="3559CC00" w14:textId="77777777" w:rsidR="000260A9" w:rsidRDefault="00000000">
            <w:r>
              <w:rPr>
                <w:sz w:val="20"/>
              </w:rPr>
              <w:t xml:space="preserve">6 </w:t>
            </w:r>
            <w:proofErr w:type="spellStart"/>
            <w:r>
              <w:rPr>
                <w:sz w:val="20"/>
              </w:rPr>
              <w:t>месяцев</w:t>
            </w:r>
            <w:proofErr w:type="spellEnd"/>
          </w:p>
        </w:tc>
        <w:tc>
          <w:tcPr>
            <w:tcW w:w="6379" w:type="dxa"/>
          </w:tcPr>
          <w:p w14:paraId="50F3DA0A" w14:textId="77777777" w:rsidR="000260A9" w:rsidRDefault="00000000">
            <w:pPr>
              <w:rPr>
                <w:lang w:val="ru-RU"/>
              </w:rPr>
            </w:pPr>
            <w:r>
              <w:rPr>
                <w:sz w:val="20"/>
                <w:lang w:val="ru-RU"/>
              </w:rPr>
              <w:t>размещение до 10 Объявлений (предварительных предложений); до 10 участий в закупках способом «Электронный магазин»; неограниченное количество организуемых коммерческих Процедур</w:t>
            </w:r>
          </w:p>
        </w:tc>
        <w:tc>
          <w:tcPr>
            <w:tcW w:w="1274" w:type="dxa"/>
          </w:tcPr>
          <w:p w14:paraId="36009AC2" w14:textId="77777777" w:rsidR="000260A9" w:rsidRDefault="00000000">
            <w:r>
              <w:rPr>
                <w:sz w:val="20"/>
              </w:rPr>
              <w:t xml:space="preserve">10 000 </w:t>
            </w:r>
            <w:proofErr w:type="spellStart"/>
            <w:r>
              <w:rPr>
                <w:sz w:val="20"/>
              </w:rPr>
              <w:t>руб</w:t>
            </w:r>
            <w:proofErr w:type="spellEnd"/>
            <w:r>
              <w:rPr>
                <w:sz w:val="20"/>
              </w:rPr>
              <w:t>.</w:t>
            </w:r>
          </w:p>
        </w:tc>
      </w:tr>
      <w:tr w:rsidR="000260A9" w14:paraId="790540EF" w14:textId="77777777">
        <w:trPr>
          <w:jc w:val="center"/>
        </w:trPr>
        <w:tc>
          <w:tcPr>
            <w:tcW w:w="1701" w:type="dxa"/>
          </w:tcPr>
          <w:p w14:paraId="6F9DC592" w14:textId="77777777" w:rsidR="000260A9" w:rsidRDefault="00000000">
            <w:pPr>
              <w:rPr>
                <w:lang w:val="ru-RU"/>
              </w:rPr>
            </w:pPr>
            <w:r>
              <w:rPr>
                <w:sz w:val="20"/>
              </w:rPr>
              <w:t xml:space="preserve">12 </w:t>
            </w:r>
            <w:r>
              <w:rPr>
                <w:sz w:val="20"/>
                <w:lang w:val="ru-RU"/>
              </w:rPr>
              <w:t>месяцев</w:t>
            </w:r>
          </w:p>
        </w:tc>
        <w:tc>
          <w:tcPr>
            <w:tcW w:w="6379" w:type="dxa"/>
          </w:tcPr>
          <w:p w14:paraId="12B16655" w14:textId="77777777" w:rsidR="000260A9" w:rsidRDefault="00000000">
            <w:pPr>
              <w:rPr>
                <w:lang w:val="ru-RU"/>
              </w:rPr>
            </w:pPr>
            <w:r>
              <w:rPr>
                <w:sz w:val="20"/>
                <w:lang w:val="ru-RU"/>
              </w:rPr>
              <w:t>размещение до 10 Объявлений (предварительных предложений); до 10 участий в закупках способом «Электронный магазин»; неограниченное количество организуемых коммерческих Процедур</w:t>
            </w:r>
          </w:p>
        </w:tc>
        <w:tc>
          <w:tcPr>
            <w:tcW w:w="1274" w:type="dxa"/>
          </w:tcPr>
          <w:p w14:paraId="3AAF7AC2" w14:textId="77777777" w:rsidR="000260A9" w:rsidRDefault="00000000">
            <w:r>
              <w:rPr>
                <w:sz w:val="20"/>
              </w:rPr>
              <w:t xml:space="preserve">15 000 </w:t>
            </w:r>
            <w:proofErr w:type="spellStart"/>
            <w:r>
              <w:rPr>
                <w:sz w:val="20"/>
              </w:rPr>
              <w:t>руб</w:t>
            </w:r>
            <w:proofErr w:type="spellEnd"/>
            <w:r>
              <w:rPr>
                <w:sz w:val="20"/>
              </w:rPr>
              <w:t>.</w:t>
            </w:r>
          </w:p>
        </w:tc>
      </w:tr>
      <w:tr w:rsidR="000260A9" w14:paraId="6A92A1A1" w14:textId="77777777">
        <w:trPr>
          <w:jc w:val="center"/>
        </w:trPr>
        <w:tc>
          <w:tcPr>
            <w:tcW w:w="1701" w:type="dxa"/>
          </w:tcPr>
          <w:p w14:paraId="59991692" w14:textId="77777777" w:rsidR="000260A9" w:rsidRDefault="00000000">
            <w:r>
              <w:rPr>
                <w:sz w:val="20"/>
                <w:lang w:val="ru-RU"/>
              </w:rPr>
              <w:t>Опция</w:t>
            </w:r>
          </w:p>
        </w:tc>
        <w:tc>
          <w:tcPr>
            <w:tcW w:w="6379" w:type="dxa"/>
          </w:tcPr>
          <w:p w14:paraId="6103C1B8" w14:textId="77777777" w:rsidR="000260A9" w:rsidRDefault="00000000">
            <w:pPr>
              <w:rPr>
                <w:lang w:val="ru-RU"/>
              </w:rPr>
            </w:pPr>
            <w:r>
              <w:rPr>
                <w:sz w:val="20"/>
                <w:lang w:val="ru-RU"/>
              </w:rPr>
              <w:t>увеличение количества Объявлений (предварительных предложений)</w:t>
            </w:r>
          </w:p>
        </w:tc>
        <w:tc>
          <w:tcPr>
            <w:tcW w:w="1274" w:type="dxa"/>
          </w:tcPr>
          <w:p w14:paraId="682B9226" w14:textId="77777777" w:rsidR="000260A9" w:rsidRDefault="00000000">
            <w:r>
              <w:rPr>
                <w:sz w:val="20"/>
              </w:rPr>
              <w:t xml:space="preserve">1 000 </w:t>
            </w:r>
            <w:proofErr w:type="spellStart"/>
            <w:r>
              <w:rPr>
                <w:sz w:val="20"/>
              </w:rPr>
              <w:t>руб</w:t>
            </w:r>
            <w:proofErr w:type="spellEnd"/>
            <w:r>
              <w:rPr>
                <w:sz w:val="20"/>
              </w:rPr>
              <w:t xml:space="preserve">. </w:t>
            </w:r>
            <w:proofErr w:type="spellStart"/>
            <w:r>
              <w:rPr>
                <w:sz w:val="20"/>
              </w:rPr>
              <w:t>за</w:t>
            </w:r>
            <w:proofErr w:type="spellEnd"/>
            <w:r>
              <w:rPr>
                <w:sz w:val="20"/>
              </w:rPr>
              <w:t xml:space="preserve"> 1 </w:t>
            </w:r>
            <w:proofErr w:type="spellStart"/>
            <w:r>
              <w:rPr>
                <w:sz w:val="20"/>
              </w:rPr>
              <w:t>шт</w:t>
            </w:r>
            <w:proofErr w:type="spellEnd"/>
            <w:r>
              <w:rPr>
                <w:sz w:val="20"/>
              </w:rPr>
              <w:t>.</w:t>
            </w:r>
          </w:p>
        </w:tc>
      </w:tr>
      <w:tr w:rsidR="000260A9" w14:paraId="3FDC7872" w14:textId="77777777">
        <w:trPr>
          <w:jc w:val="center"/>
        </w:trPr>
        <w:tc>
          <w:tcPr>
            <w:tcW w:w="1701" w:type="dxa"/>
          </w:tcPr>
          <w:p w14:paraId="164F97ED" w14:textId="77777777" w:rsidR="000260A9" w:rsidRDefault="00000000">
            <w:r>
              <w:rPr>
                <w:sz w:val="20"/>
                <w:lang w:val="ru-RU"/>
              </w:rPr>
              <w:t>Опция</w:t>
            </w:r>
          </w:p>
        </w:tc>
        <w:tc>
          <w:tcPr>
            <w:tcW w:w="6379" w:type="dxa"/>
          </w:tcPr>
          <w:p w14:paraId="06840AEF" w14:textId="77777777" w:rsidR="000260A9" w:rsidRDefault="00000000">
            <w:pPr>
              <w:rPr>
                <w:lang w:val="ru-RU"/>
              </w:rPr>
            </w:pPr>
            <w:r>
              <w:rPr>
                <w:sz w:val="20"/>
                <w:lang w:val="ru-RU"/>
              </w:rPr>
              <w:t>индивидуальный дизайн страницы Пользователя (дополнительная услуга, оплачивается по отдельному счёту)</w:t>
            </w:r>
          </w:p>
        </w:tc>
        <w:tc>
          <w:tcPr>
            <w:tcW w:w="1274" w:type="dxa"/>
          </w:tcPr>
          <w:p w14:paraId="12A43045" w14:textId="77777777" w:rsidR="000260A9" w:rsidRDefault="00000000">
            <w:r>
              <w:rPr>
                <w:sz w:val="20"/>
              </w:rPr>
              <w:t xml:space="preserve">30 000 </w:t>
            </w:r>
            <w:proofErr w:type="spellStart"/>
            <w:r>
              <w:rPr>
                <w:sz w:val="20"/>
              </w:rPr>
              <w:t>руб</w:t>
            </w:r>
            <w:proofErr w:type="spellEnd"/>
            <w:r>
              <w:rPr>
                <w:sz w:val="20"/>
              </w:rPr>
              <w:t>.</w:t>
            </w:r>
          </w:p>
        </w:tc>
      </w:tr>
    </w:tbl>
    <w:p w14:paraId="08057BCB" w14:textId="77777777" w:rsidR="000260A9" w:rsidRDefault="00000000">
      <w:pPr>
        <w:spacing w:before="120" w:after="40"/>
        <w:ind w:firstLine="567"/>
        <w:jc w:val="both"/>
      </w:pPr>
      <w:proofErr w:type="spellStart"/>
      <w:r>
        <w:rPr>
          <w:b/>
          <w:sz w:val="20"/>
        </w:rPr>
        <w:t>Примечания</w:t>
      </w:r>
      <w:proofErr w:type="spellEnd"/>
      <w:r>
        <w:rPr>
          <w:b/>
          <w:sz w:val="20"/>
        </w:rPr>
        <w:t xml:space="preserve"> к </w:t>
      </w:r>
      <w:proofErr w:type="spellStart"/>
      <w:r>
        <w:rPr>
          <w:b/>
          <w:sz w:val="20"/>
        </w:rPr>
        <w:t>разделу</w:t>
      </w:r>
      <w:proofErr w:type="spellEnd"/>
      <w:r>
        <w:rPr>
          <w:b/>
          <w:sz w:val="20"/>
        </w:rPr>
        <w:t xml:space="preserve"> 2:</w:t>
      </w:r>
    </w:p>
    <w:p w14:paraId="556ACE12" w14:textId="77777777" w:rsidR="000260A9" w:rsidRDefault="00000000">
      <w:pPr>
        <w:spacing w:after="40"/>
        <w:ind w:firstLine="567"/>
        <w:jc w:val="both"/>
        <w:rPr>
          <w:lang w:val="ru-RU"/>
        </w:rPr>
      </w:pPr>
      <w:r>
        <w:rPr>
          <w:lang w:val="ru-RU"/>
        </w:rPr>
        <w:t>1) Абонентскую плату вносят как Организатор процедур, так и Участник процедуры. Доступ к секциям предоставляется после оплаты соответствующего периода по отдельному счёту на оплату, сформированному в разделе «Подписка» Личного кабинета (пункт 4.3 Соглашения); абонентская плата с лицевого счёта не списывается (пункт 6.1 Приложения № 4). Без оплаченного периода Процедуры секций «Коммерческие закупки» и «Продажа» доступны для просмотра, но опубликовать Процедуру или подать заявку на участие в ней нельзя. При неоплате очередного периода доступ приостанавливается до момента оплаты; Процедуры, опубликованные до приостановления доступа, и Процедуры, заявки на участие в которых поданы до приостановления доступа, доводятся до завершения.</w:t>
      </w:r>
    </w:p>
    <w:p w14:paraId="7D7072A2" w14:textId="77777777" w:rsidR="000260A9" w:rsidRDefault="00000000">
      <w:pPr>
        <w:spacing w:after="40"/>
        <w:ind w:firstLine="567"/>
        <w:jc w:val="both"/>
        <w:rPr>
          <w:lang w:val="ru-RU"/>
        </w:rPr>
      </w:pPr>
      <w:r>
        <w:rPr>
          <w:lang w:val="ru-RU"/>
        </w:rPr>
        <w:t xml:space="preserve">При осуществлении закупки способом «Электронный магазин» с Заказчика по 223-ФЗ </w:t>
      </w:r>
      <w:r>
        <w:rPr>
          <w:color w:val="FF0000"/>
          <w:lang w:val="ru-RU"/>
        </w:rPr>
        <w:t>абонентская плата не взимается</w:t>
      </w:r>
      <w:r>
        <w:rPr>
          <w:lang w:val="ru-RU"/>
        </w:rPr>
        <w:t>.</w:t>
      </w:r>
    </w:p>
    <w:p w14:paraId="5DEAB8D8" w14:textId="77777777" w:rsidR="000260A9" w:rsidRDefault="00000000">
      <w:pPr>
        <w:spacing w:after="40"/>
        <w:ind w:firstLine="567"/>
        <w:jc w:val="both"/>
        <w:rPr>
          <w:lang w:val="ru-RU"/>
        </w:rPr>
      </w:pPr>
      <w:r>
        <w:rPr>
          <w:lang w:val="ru-RU"/>
        </w:rPr>
        <w:t>2) Неиспользованные в оплаченном периоде лимиты на последующие периоды не переносятся. Объявления (предварительные предложения), количество которых превышает лимит, действующий после окончания оплаченного периода, при окончании периода снимаются с публикации.</w:t>
      </w:r>
    </w:p>
    <w:p w14:paraId="10C22A63" w14:textId="77777777" w:rsidR="000260A9" w:rsidRDefault="00000000">
      <w:pPr>
        <w:spacing w:after="120"/>
        <w:ind w:firstLine="567"/>
        <w:jc w:val="both"/>
        <w:rPr>
          <w:lang w:val="ru-RU"/>
        </w:rPr>
      </w:pPr>
      <w:r>
        <w:rPr>
          <w:lang w:val="ru-RU"/>
        </w:rPr>
        <w:t>3) Организация Процедур в секциях «Коммерческие закупки» и «Продажа» не ограничена (неограниченное количество организуемых коммерческих Процедур) в рамках выбранного Тарифа. Тариф за победу в секциях «Коммерческие закупки» и «Продажа» не взимается.</w:t>
      </w:r>
    </w:p>
    <w:p w14:paraId="03E0CB5F" w14:textId="77777777" w:rsidR="000260A9" w:rsidRDefault="00000000">
      <w:pPr>
        <w:spacing w:after="120"/>
        <w:ind w:firstLine="567"/>
        <w:jc w:val="both"/>
        <w:rPr>
          <w:lang w:val="ru-RU"/>
        </w:rPr>
      </w:pPr>
      <w:r>
        <w:rPr>
          <w:lang w:val="ru-RU"/>
        </w:rPr>
        <w:t xml:space="preserve">4) Способ закупки «Электронный магазин» применяется только в секции «Коммерческие закупки». Участием в закупке способом «Электронный магазин» считается Объявление </w:t>
      </w:r>
      <w:r>
        <w:rPr>
          <w:lang w:val="ru-RU"/>
        </w:rPr>
        <w:lastRenderedPageBreak/>
        <w:t>(предварительное предложение) Участника процедуры, отобранное Оператором и направленное Заказчику по такой закупке.</w:t>
      </w:r>
    </w:p>
    <w:p w14:paraId="678F4BB4" w14:textId="77777777" w:rsidR="000260A9" w:rsidRDefault="00000000">
      <w:pPr>
        <w:spacing w:before="160" w:after="120"/>
        <w:ind w:firstLine="567"/>
        <w:jc w:val="both"/>
      </w:pPr>
      <w:proofErr w:type="spellStart"/>
      <w:r>
        <w:rPr>
          <w:b/>
          <w:sz w:val="24"/>
        </w:rPr>
        <w:t>Раздел</w:t>
      </w:r>
      <w:proofErr w:type="spellEnd"/>
      <w:r>
        <w:rPr>
          <w:b/>
          <w:sz w:val="24"/>
        </w:rPr>
        <w:t xml:space="preserve"> 3. </w:t>
      </w:r>
      <w:proofErr w:type="spellStart"/>
      <w:r>
        <w:rPr>
          <w:b/>
          <w:sz w:val="24"/>
        </w:rPr>
        <w:t>Дополнительные</w:t>
      </w:r>
      <w:proofErr w:type="spellEnd"/>
      <w:r>
        <w:rPr>
          <w:b/>
          <w:sz w:val="24"/>
        </w:rPr>
        <w:t xml:space="preserve"> </w:t>
      </w:r>
      <w:proofErr w:type="spellStart"/>
      <w:r>
        <w:rPr>
          <w:b/>
          <w:sz w:val="24"/>
        </w:rPr>
        <w:t>услуги</w:t>
      </w:r>
      <w:proofErr w:type="spellEnd"/>
    </w:p>
    <w:tbl>
      <w:tblPr>
        <w:tblStyle w:val="aff8"/>
        <w:tblW w:w="0" w:type="auto"/>
        <w:jc w:val="center"/>
        <w:tblLayout w:type="fixed"/>
        <w:tblLook w:val="04A0" w:firstRow="1" w:lastRow="0" w:firstColumn="1" w:lastColumn="0" w:noHBand="0" w:noVBand="1"/>
      </w:tblPr>
      <w:tblGrid>
        <w:gridCol w:w="6973"/>
        <w:gridCol w:w="2268"/>
      </w:tblGrid>
      <w:tr w:rsidR="000260A9" w14:paraId="394705DD" w14:textId="77777777">
        <w:trPr>
          <w:tblHeader/>
          <w:jc w:val="center"/>
        </w:trPr>
        <w:tc>
          <w:tcPr>
            <w:tcW w:w="6973" w:type="dxa"/>
          </w:tcPr>
          <w:p w14:paraId="7F582C9A" w14:textId="77777777" w:rsidR="000260A9" w:rsidRDefault="00000000">
            <w:pPr>
              <w:jc w:val="center"/>
            </w:pPr>
            <w:proofErr w:type="spellStart"/>
            <w:r>
              <w:rPr>
                <w:b/>
                <w:sz w:val="20"/>
              </w:rPr>
              <w:t>Услуга</w:t>
            </w:r>
            <w:proofErr w:type="spellEnd"/>
          </w:p>
        </w:tc>
        <w:tc>
          <w:tcPr>
            <w:tcW w:w="2268" w:type="dxa"/>
          </w:tcPr>
          <w:p w14:paraId="74B40594" w14:textId="77777777" w:rsidR="000260A9" w:rsidRDefault="00000000">
            <w:pPr>
              <w:jc w:val="center"/>
            </w:pPr>
            <w:proofErr w:type="spellStart"/>
            <w:r>
              <w:rPr>
                <w:b/>
                <w:sz w:val="20"/>
              </w:rPr>
              <w:t>Стоимость</w:t>
            </w:r>
            <w:proofErr w:type="spellEnd"/>
          </w:p>
        </w:tc>
      </w:tr>
      <w:tr w:rsidR="000260A9" w14:paraId="4FDD3323" w14:textId="77777777">
        <w:trPr>
          <w:jc w:val="center"/>
        </w:trPr>
        <w:tc>
          <w:tcPr>
            <w:tcW w:w="6973" w:type="dxa"/>
          </w:tcPr>
          <w:p w14:paraId="74B8B5F1" w14:textId="77777777" w:rsidR="000260A9" w:rsidRDefault="00000000">
            <w:pPr>
              <w:rPr>
                <w:lang w:val="ru-RU"/>
              </w:rPr>
            </w:pPr>
            <w:r>
              <w:rPr>
                <w:sz w:val="20"/>
                <w:lang w:val="ru-RU"/>
              </w:rPr>
              <w:t>Аудит закупочной документации (1 Процедура, 1 лот) с внесением изменений в документацию</w:t>
            </w:r>
          </w:p>
        </w:tc>
        <w:tc>
          <w:tcPr>
            <w:tcW w:w="2268" w:type="dxa"/>
          </w:tcPr>
          <w:p w14:paraId="6D28C367" w14:textId="77777777" w:rsidR="000260A9" w:rsidRDefault="00000000">
            <w:r>
              <w:rPr>
                <w:sz w:val="20"/>
              </w:rPr>
              <w:t xml:space="preserve">15 000 </w:t>
            </w:r>
            <w:proofErr w:type="spellStart"/>
            <w:r>
              <w:rPr>
                <w:sz w:val="20"/>
              </w:rPr>
              <w:t>руб</w:t>
            </w:r>
            <w:proofErr w:type="spellEnd"/>
            <w:r>
              <w:rPr>
                <w:sz w:val="20"/>
              </w:rPr>
              <w:t>.</w:t>
            </w:r>
          </w:p>
        </w:tc>
      </w:tr>
      <w:tr w:rsidR="000260A9" w14:paraId="027DCA08" w14:textId="77777777">
        <w:trPr>
          <w:jc w:val="center"/>
        </w:trPr>
        <w:tc>
          <w:tcPr>
            <w:tcW w:w="6973" w:type="dxa"/>
          </w:tcPr>
          <w:p w14:paraId="73FFB521" w14:textId="77777777" w:rsidR="000260A9" w:rsidRDefault="00000000">
            <w:pPr>
              <w:rPr>
                <w:lang w:val="ru-RU"/>
              </w:rPr>
            </w:pPr>
            <w:r>
              <w:rPr>
                <w:sz w:val="20"/>
                <w:lang w:val="ru-RU"/>
              </w:rPr>
              <w:t>Аудит локального нормативного акта, регламентирующего процесс осуществления электронных торгов (в т.ч. Положения о закупке)</w:t>
            </w:r>
          </w:p>
        </w:tc>
        <w:tc>
          <w:tcPr>
            <w:tcW w:w="2268" w:type="dxa"/>
          </w:tcPr>
          <w:p w14:paraId="33D4B703" w14:textId="77777777" w:rsidR="000260A9" w:rsidRDefault="00000000">
            <w:r>
              <w:rPr>
                <w:sz w:val="20"/>
              </w:rPr>
              <w:t xml:space="preserve">30 000 </w:t>
            </w:r>
            <w:proofErr w:type="spellStart"/>
            <w:r>
              <w:rPr>
                <w:sz w:val="20"/>
              </w:rPr>
              <w:t>руб</w:t>
            </w:r>
            <w:proofErr w:type="spellEnd"/>
            <w:r>
              <w:rPr>
                <w:sz w:val="20"/>
              </w:rPr>
              <w:t>.</w:t>
            </w:r>
          </w:p>
        </w:tc>
      </w:tr>
      <w:tr w:rsidR="000260A9" w14:paraId="7456EFED" w14:textId="77777777">
        <w:trPr>
          <w:jc w:val="center"/>
        </w:trPr>
        <w:tc>
          <w:tcPr>
            <w:tcW w:w="6973" w:type="dxa"/>
          </w:tcPr>
          <w:p w14:paraId="2EBC4383" w14:textId="77777777" w:rsidR="000260A9" w:rsidRDefault="00000000">
            <w:pPr>
              <w:rPr>
                <w:lang w:val="ru-RU"/>
              </w:rPr>
            </w:pPr>
            <w:r>
              <w:rPr>
                <w:sz w:val="20"/>
                <w:lang w:val="ru-RU"/>
              </w:rPr>
              <w:t>Аудит заявки на участие в Процедуре с рекомендациями</w:t>
            </w:r>
          </w:p>
        </w:tc>
        <w:tc>
          <w:tcPr>
            <w:tcW w:w="2268" w:type="dxa"/>
          </w:tcPr>
          <w:p w14:paraId="0776D1B0" w14:textId="77777777" w:rsidR="000260A9" w:rsidRDefault="00000000">
            <w:r>
              <w:rPr>
                <w:sz w:val="20"/>
              </w:rPr>
              <w:t xml:space="preserve">15 000 </w:t>
            </w:r>
            <w:proofErr w:type="spellStart"/>
            <w:r>
              <w:rPr>
                <w:sz w:val="20"/>
              </w:rPr>
              <w:t>руб</w:t>
            </w:r>
            <w:proofErr w:type="spellEnd"/>
            <w:r>
              <w:rPr>
                <w:sz w:val="20"/>
              </w:rPr>
              <w:t>.</w:t>
            </w:r>
          </w:p>
        </w:tc>
      </w:tr>
    </w:tbl>
    <w:p w14:paraId="463F50A2" w14:textId="77777777" w:rsidR="000260A9" w:rsidRDefault="00000000">
      <w:pPr>
        <w:spacing w:before="120" w:after="120"/>
        <w:ind w:firstLine="567"/>
        <w:jc w:val="both"/>
        <w:rPr>
          <w:lang w:val="ru-RU"/>
        </w:rPr>
      </w:pPr>
      <w:r>
        <w:rPr>
          <w:lang w:val="ru-RU"/>
        </w:rPr>
        <w:t>Оплата услуг по настоящим Тарифам осуществляется в порядке, установленном разделом 4 Соглашения: тариф за победу и плата за участие (раздел 1) списываются с лицевого счёта в порядке, установленном пунктами 6.1–6.3 Приложения № 4 к Соглашению; абонентская плата и опции (раздел 2), ускоренная аккредитация, отдельная секция с индивидуальным дизайном и дополнительные услуги (раздел 3) оплачиваются по отдельному счёту на оплату и с лицевого счёта не списываются.</w:t>
      </w:r>
    </w:p>
    <w:sectPr w:rsidR="000260A9">
      <w:footerReference w:type="default" r:id="rId10"/>
      <w:pgSz w:w="11906" w:h="16838"/>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AB993" w14:textId="77777777" w:rsidR="005D203F" w:rsidRDefault="005D203F">
      <w:pPr>
        <w:spacing w:after="0" w:line="240" w:lineRule="auto"/>
      </w:pPr>
      <w:r>
        <w:separator/>
      </w:r>
    </w:p>
  </w:endnote>
  <w:endnote w:type="continuationSeparator" w:id="0">
    <w:p w14:paraId="2418ED99" w14:textId="77777777" w:rsidR="005D203F" w:rsidRDefault="005D2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charset w:val="00"/>
    <w:family w:val="auto"/>
    <w:pitch w:val="default"/>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F99FA" w14:textId="77777777" w:rsidR="000260A9" w:rsidRDefault="00000000">
    <w:pPr>
      <w:pStyle w:val="af0"/>
      <w:jc w:val="center"/>
    </w:pPr>
    <w:proofErr w:type="spellStart"/>
    <w:r>
      <w:rPr>
        <w:color w:val="000000"/>
        <w:sz w:val="20"/>
      </w:rPr>
      <w:t>Страница</w:t>
    </w:r>
    <w:proofErr w:type="spellEnd"/>
    <w:r>
      <w:rPr>
        <w:color w:val="000000"/>
        <w:sz w:val="20"/>
      </w:rPr>
      <w:t xml:space="preserve"> </w:t>
    </w:r>
    <w:r>
      <w:rPr>
        <w:color w:val="000000"/>
        <w:sz w:val="20"/>
      </w:rPr>
      <w:fldChar w:fldCharType="begin"/>
    </w:r>
    <w:r>
      <w:rPr>
        <w:color w:val="000000"/>
        <w:sz w:val="20"/>
      </w:rPr>
      <w:instrText>PAGE</w:instrText>
    </w:r>
    <w:r>
      <w:rPr>
        <w:color w:val="000000"/>
        <w:sz w:val="20"/>
      </w:rPr>
      <w:fldChar w:fldCharType="separate"/>
    </w:r>
    <w:r>
      <w:rPr>
        <w:color w:val="000000"/>
        <w:sz w:val="20"/>
      </w:rPr>
      <w:t>1</w:t>
    </w:r>
    <w:r>
      <w:rPr>
        <w:color w:val="000000"/>
        <w:sz w:val="20"/>
      </w:rPr>
      <w:fldChar w:fldCharType="end"/>
    </w:r>
    <w:r>
      <w:rPr>
        <w:color w:val="000000"/>
        <w:sz w:val="20"/>
      </w:rPr>
      <w:t xml:space="preserve"> </w:t>
    </w:r>
    <w:proofErr w:type="spellStart"/>
    <w:r>
      <w:rPr>
        <w:color w:val="000000"/>
        <w:sz w:val="20"/>
      </w:rPr>
      <w:t>из</w:t>
    </w:r>
    <w:proofErr w:type="spellEnd"/>
    <w:r>
      <w:rPr>
        <w:color w:val="000000"/>
        <w:sz w:val="20"/>
      </w:rPr>
      <w:t xml:space="preserve"> </w:t>
    </w:r>
    <w:r>
      <w:rPr>
        <w:color w:val="000000"/>
        <w:sz w:val="20"/>
      </w:rPr>
      <w:fldChar w:fldCharType="begin"/>
    </w:r>
    <w:r>
      <w:rPr>
        <w:color w:val="000000"/>
        <w:sz w:val="20"/>
      </w:rPr>
      <w:instrText>NUMPAGES</w:instrText>
    </w:r>
    <w:r>
      <w:rPr>
        <w:color w:val="000000"/>
        <w:sz w:val="20"/>
      </w:rPr>
      <w:fldChar w:fldCharType="separate"/>
    </w:r>
    <w:r>
      <w:rPr>
        <w:color w:val="000000"/>
        <w:sz w:val="20"/>
      </w:rPr>
      <w:t>2</w:t>
    </w:r>
    <w:r>
      <w:rPr>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D0EED" w14:textId="77777777" w:rsidR="005D203F" w:rsidRDefault="005D203F">
      <w:pPr>
        <w:spacing w:after="0" w:line="240" w:lineRule="auto"/>
      </w:pPr>
      <w:r>
        <w:separator/>
      </w:r>
    </w:p>
  </w:footnote>
  <w:footnote w:type="continuationSeparator" w:id="0">
    <w:p w14:paraId="238FE7EA" w14:textId="77777777" w:rsidR="005D203F" w:rsidRDefault="005D20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44FD4"/>
    <w:multiLevelType w:val="hybridMultilevel"/>
    <w:tmpl w:val="8D9C0AAC"/>
    <w:lvl w:ilvl="0" w:tplc="E9C02880">
      <w:start w:val="1"/>
      <w:numFmt w:val="decimal"/>
      <w:lvlText w:val="%1."/>
      <w:lvlJc w:val="left"/>
      <w:pPr>
        <w:tabs>
          <w:tab w:val="num" w:pos="1800"/>
        </w:tabs>
        <w:ind w:left="1800" w:hanging="360"/>
      </w:pPr>
    </w:lvl>
    <w:lvl w:ilvl="1" w:tplc="3A1EDD0A">
      <w:start w:val="1"/>
      <w:numFmt w:val="bullet"/>
      <w:lvlText w:val="o"/>
      <w:lvlJc w:val="left"/>
      <w:pPr>
        <w:ind w:left="1440" w:hanging="360"/>
      </w:pPr>
      <w:rPr>
        <w:rFonts w:ascii="Courier New" w:eastAsia="Courier New" w:hAnsi="Courier New" w:cs="Courier New" w:hint="default"/>
      </w:rPr>
    </w:lvl>
    <w:lvl w:ilvl="2" w:tplc="882A3EC8">
      <w:start w:val="1"/>
      <w:numFmt w:val="bullet"/>
      <w:lvlText w:val="§"/>
      <w:lvlJc w:val="left"/>
      <w:pPr>
        <w:ind w:left="2160" w:hanging="360"/>
      </w:pPr>
      <w:rPr>
        <w:rFonts w:ascii="Wingdings" w:eastAsia="Wingdings" w:hAnsi="Wingdings" w:cs="Wingdings" w:hint="default"/>
      </w:rPr>
    </w:lvl>
    <w:lvl w:ilvl="3" w:tplc="D7E27EFA">
      <w:start w:val="1"/>
      <w:numFmt w:val="bullet"/>
      <w:lvlText w:val="·"/>
      <w:lvlJc w:val="left"/>
      <w:pPr>
        <w:ind w:left="2880" w:hanging="360"/>
      </w:pPr>
      <w:rPr>
        <w:rFonts w:ascii="Symbol" w:eastAsia="Symbol" w:hAnsi="Symbol" w:cs="Symbol" w:hint="default"/>
      </w:rPr>
    </w:lvl>
    <w:lvl w:ilvl="4" w:tplc="A25AF8CE">
      <w:start w:val="1"/>
      <w:numFmt w:val="bullet"/>
      <w:lvlText w:val="o"/>
      <w:lvlJc w:val="left"/>
      <w:pPr>
        <w:ind w:left="3600" w:hanging="360"/>
      </w:pPr>
      <w:rPr>
        <w:rFonts w:ascii="Courier New" w:eastAsia="Courier New" w:hAnsi="Courier New" w:cs="Courier New" w:hint="default"/>
      </w:rPr>
    </w:lvl>
    <w:lvl w:ilvl="5" w:tplc="865AA152">
      <w:start w:val="1"/>
      <w:numFmt w:val="bullet"/>
      <w:lvlText w:val="§"/>
      <w:lvlJc w:val="left"/>
      <w:pPr>
        <w:ind w:left="4320" w:hanging="360"/>
      </w:pPr>
      <w:rPr>
        <w:rFonts w:ascii="Wingdings" w:eastAsia="Wingdings" w:hAnsi="Wingdings" w:cs="Wingdings" w:hint="default"/>
      </w:rPr>
    </w:lvl>
    <w:lvl w:ilvl="6" w:tplc="67EC4876">
      <w:start w:val="1"/>
      <w:numFmt w:val="bullet"/>
      <w:lvlText w:val="·"/>
      <w:lvlJc w:val="left"/>
      <w:pPr>
        <w:ind w:left="5040" w:hanging="360"/>
      </w:pPr>
      <w:rPr>
        <w:rFonts w:ascii="Symbol" w:eastAsia="Symbol" w:hAnsi="Symbol" w:cs="Symbol" w:hint="default"/>
      </w:rPr>
    </w:lvl>
    <w:lvl w:ilvl="7" w:tplc="68B20C28">
      <w:start w:val="1"/>
      <w:numFmt w:val="bullet"/>
      <w:lvlText w:val="o"/>
      <w:lvlJc w:val="left"/>
      <w:pPr>
        <w:ind w:left="5760" w:hanging="360"/>
      </w:pPr>
      <w:rPr>
        <w:rFonts w:ascii="Courier New" w:eastAsia="Courier New" w:hAnsi="Courier New" w:cs="Courier New" w:hint="default"/>
      </w:rPr>
    </w:lvl>
    <w:lvl w:ilvl="8" w:tplc="C16AA948">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150D3DA0"/>
    <w:multiLevelType w:val="hybridMultilevel"/>
    <w:tmpl w:val="DC6A7532"/>
    <w:lvl w:ilvl="0" w:tplc="8AEE6B78">
      <w:start w:val="1"/>
      <w:numFmt w:val="bullet"/>
      <w:pStyle w:val="3"/>
      <w:lvlText w:val=""/>
      <w:lvlJc w:val="left"/>
      <w:pPr>
        <w:tabs>
          <w:tab w:val="num" w:pos="1080"/>
        </w:tabs>
        <w:ind w:left="1080" w:hanging="360"/>
      </w:pPr>
      <w:rPr>
        <w:rFonts w:ascii="Symbol" w:hAnsi="Symbol" w:hint="default"/>
      </w:rPr>
    </w:lvl>
    <w:lvl w:ilvl="1" w:tplc="6DD8788A">
      <w:start w:val="1"/>
      <w:numFmt w:val="bullet"/>
      <w:lvlText w:val="o"/>
      <w:lvlJc w:val="left"/>
      <w:pPr>
        <w:ind w:left="1440" w:hanging="360"/>
      </w:pPr>
      <w:rPr>
        <w:rFonts w:ascii="Courier New" w:eastAsia="Courier New" w:hAnsi="Courier New" w:cs="Courier New" w:hint="default"/>
      </w:rPr>
    </w:lvl>
    <w:lvl w:ilvl="2" w:tplc="D33E6B18">
      <w:start w:val="1"/>
      <w:numFmt w:val="bullet"/>
      <w:lvlText w:val="§"/>
      <w:lvlJc w:val="left"/>
      <w:pPr>
        <w:ind w:left="2160" w:hanging="360"/>
      </w:pPr>
      <w:rPr>
        <w:rFonts w:ascii="Wingdings" w:eastAsia="Wingdings" w:hAnsi="Wingdings" w:cs="Wingdings" w:hint="default"/>
      </w:rPr>
    </w:lvl>
    <w:lvl w:ilvl="3" w:tplc="E2626806">
      <w:start w:val="1"/>
      <w:numFmt w:val="bullet"/>
      <w:lvlText w:val="·"/>
      <w:lvlJc w:val="left"/>
      <w:pPr>
        <w:ind w:left="2880" w:hanging="360"/>
      </w:pPr>
      <w:rPr>
        <w:rFonts w:ascii="Symbol" w:eastAsia="Symbol" w:hAnsi="Symbol" w:cs="Symbol" w:hint="default"/>
      </w:rPr>
    </w:lvl>
    <w:lvl w:ilvl="4" w:tplc="0C243A5C">
      <w:start w:val="1"/>
      <w:numFmt w:val="bullet"/>
      <w:lvlText w:val="o"/>
      <w:lvlJc w:val="left"/>
      <w:pPr>
        <w:ind w:left="3600" w:hanging="360"/>
      </w:pPr>
      <w:rPr>
        <w:rFonts w:ascii="Courier New" w:eastAsia="Courier New" w:hAnsi="Courier New" w:cs="Courier New" w:hint="default"/>
      </w:rPr>
    </w:lvl>
    <w:lvl w:ilvl="5" w:tplc="3D846D34">
      <w:start w:val="1"/>
      <w:numFmt w:val="bullet"/>
      <w:lvlText w:val="§"/>
      <w:lvlJc w:val="left"/>
      <w:pPr>
        <w:ind w:left="4320" w:hanging="360"/>
      </w:pPr>
      <w:rPr>
        <w:rFonts w:ascii="Wingdings" w:eastAsia="Wingdings" w:hAnsi="Wingdings" w:cs="Wingdings" w:hint="default"/>
      </w:rPr>
    </w:lvl>
    <w:lvl w:ilvl="6" w:tplc="F670DEEA">
      <w:start w:val="1"/>
      <w:numFmt w:val="bullet"/>
      <w:lvlText w:val="·"/>
      <w:lvlJc w:val="left"/>
      <w:pPr>
        <w:ind w:left="5040" w:hanging="360"/>
      </w:pPr>
      <w:rPr>
        <w:rFonts w:ascii="Symbol" w:eastAsia="Symbol" w:hAnsi="Symbol" w:cs="Symbol" w:hint="default"/>
      </w:rPr>
    </w:lvl>
    <w:lvl w:ilvl="7" w:tplc="3886BEB2">
      <w:start w:val="1"/>
      <w:numFmt w:val="bullet"/>
      <w:lvlText w:val="o"/>
      <w:lvlJc w:val="left"/>
      <w:pPr>
        <w:ind w:left="5760" w:hanging="360"/>
      </w:pPr>
      <w:rPr>
        <w:rFonts w:ascii="Courier New" w:eastAsia="Courier New" w:hAnsi="Courier New" w:cs="Courier New" w:hint="default"/>
      </w:rPr>
    </w:lvl>
    <w:lvl w:ilvl="8" w:tplc="582E6922">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2869079A"/>
    <w:multiLevelType w:val="hybridMultilevel"/>
    <w:tmpl w:val="9B40920A"/>
    <w:lvl w:ilvl="0" w:tplc="09AECC22">
      <w:start w:val="1"/>
      <w:numFmt w:val="decimal"/>
      <w:lvlText w:val="%1."/>
      <w:lvlJc w:val="left"/>
      <w:pPr>
        <w:tabs>
          <w:tab w:val="num" w:pos="1440"/>
        </w:tabs>
        <w:ind w:left="1440" w:hanging="360"/>
      </w:pPr>
    </w:lvl>
    <w:lvl w:ilvl="1" w:tplc="E17845BC">
      <w:start w:val="1"/>
      <w:numFmt w:val="bullet"/>
      <w:lvlText w:val="o"/>
      <w:lvlJc w:val="left"/>
      <w:pPr>
        <w:ind w:left="1440" w:hanging="360"/>
      </w:pPr>
      <w:rPr>
        <w:rFonts w:ascii="Courier New" w:eastAsia="Courier New" w:hAnsi="Courier New" w:cs="Courier New" w:hint="default"/>
      </w:rPr>
    </w:lvl>
    <w:lvl w:ilvl="2" w:tplc="973C6E44">
      <w:start w:val="1"/>
      <w:numFmt w:val="bullet"/>
      <w:lvlText w:val="§"/>
      <w:lvlJc w:val="left"/>
      <w:pPr>
        <w:ind w:left="2160" w:hanging="360"/>
      </w:pPr>
      <w:rPr>
        <w:rFonts w:ascii="Wingdings" w:eastAsia="Wingdings" w:hAnsi="Wingdings" w:cs="Wingdings" w:hint="default"/>
      </w:rPr>
    </w:lvl>
    <w:lvl w:ilvl="3" w:tplc="8910C222">
      <w:start w:val="1"/>
      <w:numFmt w:val="bullet"/>
      <w:lvlText w:val="·"/>
      <w:lvlJc w:val="left"/>
      <w:pPr>
        <w:ind w:left="2880" w:hanging="360"/>
      </w:pPr>
      <w:rPr>
        <w:rFonts w:ascii="Symbol" w:eastAsia="Symbol" w:hAnsi="Symbol" w:cs="Symbol" w:hint="default"/>
      </w:rPr>
    </w:lvl>
    <w:lvl w:ilvl="4" w:tplc="47FACB08">
      <w:start w:val="1"/>
      <w:numFmt w:val="bullet"/>
      <w:lvlText w:val="o"/>
      <w:lvlJc w:val="left"/>
      <w:pPr>
        <w:ind w:left="3600" w:hanging="360"/>
      </w:pPr>
      <w:rPr>
        <w:rFonts w:ascii="Courier New" w:eastAsia="Courier New" w:hAnsi="Courier New" w:cs="Courier New" w:hint="default"/>
      </w:rPr>
    </w:lvl>
    <w:lvl w:ilvl="5" w:tplc="7A38392E">
      <w:start w:val="1"/>
      <w:numFmt w:val="bullet"/>
      <w:lvlText w:val="§"/>
      <w:lvlJc w:val="left"/>
      <w:pPr>
        <w:ind w:left="4320" w:hanging="360"/>
      </w:pPr>
      <w:rPr>
        <w:rFonts w:ascii="Wingdings" w:eastAsia="Wingdings" w:hAnsi="Wingdings" w:cs="Wingdings" w:hint="default"/>
      </w:rPr>
    </w:lvl>
    <w:lvl w:ilvl="6" w:tplc="086C85FA">
      <w:start w:val="1"/>
      <w:numFmt w:val="bullet"/>
      <w:lvlText w:val="·"/>
      <w:lvlJc w:val="left"/>
      <w:pPr>
        <w:ind w:left="5040" w:hanging="360"/>
      </w:pPr>
      <w:rPr>
        <w:rFonts w:ascii="Symbol" w:eastAsia="Symbol" w:hAnsi="Symbol" w:cs="Symbol" w:hint="default"/>
      </w:rPr>
    </w:lvl>
    <w:lvl w:ilvl="7" w:tplc="4CACF87E">
      <w:start w:val="1"/>
      <w:numFmt w:val="bullet"/>
      <w:lvlText w:val="o"/>
      <w:lvlJc w:val="left"/>
      <w:pPr>
        <w:ind w:left="5760" w:hanging="360"/>
      </w:pPr>
      <w:rPr>
        <w:rFonts w:ascii="Courier New" w:eastAsia="Courier New" w:hAnsi="Courier New" w:cs="Courier New" w:hint="default"/>
      </w:rPr>
    </w:lvl>
    <w:lvl w:ilvl="8" w:tplc="9D00AF72">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28CF4A61"/>
    <w:multiLevelType w:val="hybridMultilevel"/>
    <w:tmpl w:val="51708BD4"/>
    <w:lvl w:ilvl="0" w:tplc="EAD48E88">
      <w:start w:val="1"/>
      <w:numFmt w:val="decimal"/>
      <w:pStyle w:val="2"/>
      <w:lvlText w:val="%1."/>
      <w:lvlJc w:val="left"/>
      <w:pPr>
        <w:tabs>
          <w:tab w:val="num" w:pos="720"/>
        </w:tabs>
        <w:ind w:left="720" w:hanging="360"/>
      </w:pPr>
    </w:lvl>
    <w:lvl w:ilvl="1" w:tplc="5FEE8274">
      <w:start w:val="1"/>
      <w:numFmt w:val="bullet"/>
      <w:lvlText w:val="o"/>
      <w:lvlJc w:val="left"/>
      <w:pPr>
        <w:ind w:left="1440" w:hanging="360"/>
      </w:pPr>
      <w:rPr>
        <w:rFonts w:ascii="Courier New" w:eastAsia="Courier New" w:hAnsi="Courier New" w:cs="Courier New" w:hint="default"/>
      </w:rPr>
    </w:lvl>
    <w:lvl w:ilvl="2" w:tplc="395CCE0A">
      <w:start w:val="1"/>
      <w:numFmt w:val="bullet"/>
      <w:lvlText w:val="§"/>
      <w:lvlJc w:val="left"/>
      <w:pPr>
        <w:ind w:left="2160" w:hanging="360"/>
      </w:pPr>
      <w:rPr>
        <w:rFonts w:ascii="Wingdings" w:eastAsia="Wingdings" w:hAnsi="Wingdings" w:cs="Wingdings" w:hint="default"/>
      </w:rPr>
    </w:lvl>
    <w:lvl w:ilvl="3" w:tplc="F5568E4C">
      <w:start w:val="1"/>
      <w:numFmt w:val="bullet"/>
      <w:lvlText w:val="·"/>
      <w:lvlJc w:val="left"/>
      <w:pPr>
        <w:ind w:left="2880" w:hanging="360"/>
      </w:pPr>
      <w:rPr>
        <w:rFonts w:ascii="Symbol" w:eastAsia="Symbol" w:hAnsi="Symbol" w:cs="Symbol" w:hint="default"/>
      </w:rPr>
    </w:lvl>
    <w:lvl w:ilvl="4" w:tplc="8DBC06DC">
      <w:start w:val="1"/>
      <w:numFmt w:val="bullet"/>
      <w:lvlText w:val="o"/>
      <w:lvlJc w:val="left"/>
      <w:pPr>
        <w:ind w:left="3600" w:hanging="360"/>
      </w:pPr>
      <w:rPr>
        <w:rFonts w:ascii="Courier New" w:eastAsia="Courier New" w:hAnsi="Courier New" w:cs="Courier New" w:hint="default"/>
      </w:rPr>
    </w:lvl>
    <w:lvl w:ilvl="5" w:tplc="9C9A2D3E">
      <w:start w:val="1"/>
      <w:numFmt w:val="bullet"/>
      <w:lvlText w:val="§"/>
      <w:lvlJc w:val="left"/>
      <w:pPr>
        <w:ind w:left="4320" w:hanging="360"/>
      </w:pPr>
      <w:rPr>
        <w:rFonts w:ascii="Wingdings" w:eastAsia="Wingdings" w:hAnsi="Wingdings" w:cs="Wingdings" w:hint="default"/>
      </w:rPr>
    </w:lvl>
    <w:lvl w:ilvl="6" w:tplc="29B46378">
      <w:start w:val="1"/>
      <w:numFmt w:val="bullet"/>
      <w:lvlText w:val="·"/>
      <w:lvlJc w:val="left"/>
      <w:pPr>
        <w:ind w:left="5040" w:hanging="360"/>
      </w:pPr>
      <w:rPr>
        <w:rFonts w:ascii="Symbol" w:eastAsia="Symbol" w:hAnsi="Symbol" w:cs="Symbol" w:hint="default"/>
      </w:rPr>
    </w:lvl>
    <w:lvl w:ilvl="7" w:tplc="6C86DD1A">
      <w:start w:val="1"/>
      <w:numFmt w:val="bullet"/>
      <w:lvlText w:val="o"/>
      <w:lvlJc w:val="left"/>
      <w:pPr>
        <w:ind w:left="5760" w:hanging="360"/>
      </w:pPr>
      <w:rPr>
        <w:rFonts w:ascii="Courier New" w:eastAsia="Courier New" w:hAnsi="Courier New" w:cs="Courier New" w:hint="default"/>
      </w:rPr>
    </w:lvl>
    <w:lvl w:ilvl="8" w:tplc="F0E66860">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409F4820"/>
    <w:multiLevelType w:val="hybridMultilevel"/>
    <w:tmpl w:val="5784EDCC"/>
    <w:lvl w:ilvl="0" w:tplc="57D6352A">
      <w:start w:val="1"/>
      <w:numFmt w:val="decimal"/>
      <w:pStyle w:val="a"/>
      <w:lvlText w:val="%1."/>
      <w:lvlJc w:val="left"/>
      <w:pPr>
        <w:tabs>
          <w:tab w:val="num" w:pos="360"/>
        </w:tabs>
        <w:ind w:left="360" w:hanging="360"/>
      </w:pPr>
    </w:lvl>
    <w:lvl w:ilvl="1" w:tplc="0562F37E">
      <w:start w:val="1"/>
      <w:numFmt w:val="bullet"/>
      <w:lvlText w:val="o"/>
      <w:lvlJc w:val="left"/>
      <w:pPr>
        <w:ind w:left="1440" w:hanging="360"/>
      </w:pPr>
      <w:rPr>
        <w:rFonts w:ascii="Courier New" w:eastAsia="Courier New" w:hAnsi="Courier New" w:cs="Courier New" w:hint="default"/>
      </w:rPr>
    </w:lvl>
    <w:lvl w:ilvl="2" w:tplc="AFEC78EC">
      <w:start w:val="1"/>
      <w:numFmt w:val="bullet"/>
      <w:lvlText w:val="§"/>
      <w:lvlJc w:val="left"/>
      <w:pPr>
        <w:ind w:left="2160" w:hanging="360"/>
      </w:pPr>
      <w:rPr>
        <w:rFonts w:ascii="Wingdings" w:eastAsia="Wingdings" w:hAnsi="Wingdings" w:cs="Wingdings" w:hint="default"/>
      </w:rPr>
    </w:lvl>
    <w:lvl w:ilvl="3" w:tplc="8C30898A">
      <w:start w:val="1"/>
      <w:numFmt w:val="bullet"/>
      <w:lvlText w:val="·"/>
      <w:lvlJc w:val="left"/>
      <w:pPr>
        <w:ind w:left="2880" w:hanging="360"/>
      </w:pPr>
      <w:rPr>
        <w:rFonts w:ascii="Symbol" w:eastAsia="Symbol" w:hAnsi="Symbol" w:cs="Symbol" w:hint="default"/>
      </w:rPr>
    </w:lvl>
    <w:lvl w:ilvl="4" w:tplc="19761A34">
      <w:start w:val="1"/>
      <w:numFmt w:val="bullet"/>
      <w:lvlText w:val="o"/>
      <w:lvlJc w:val="left"/>
      <w:pPr>
        <w:ind w:left="3600" w:hanging="360"/>
      </w:pPr>
      <w:rPr>
        <w:rFonts w:ascii="Courier New" w:eastAsia="Courier New" w:hAnsi="Courier New" w:cs="Courier New" w:hint="default"/>
      </w:rPr>
    </w:lvl>
    <w:lvl w:ilvl="5" w:tplc="B36EEF44">
      <w:start w:val="1"/>
      <w:numFmt w:val="bullet"/>
      <w:lvlText w:val="§"/>
      <w:lvlJc w:val="left"/>
      <w:pPr>
        <w:ind w:left="4320" w:hanging="360"/>
      </w:pPr>
      <w:rPr>
        <w:rFonts w:ascii="Wingdings" w:eastAsia="Wingdings" w:hAnsi="Wingdings" w:cs="Wingdings" w:hint="default"/>
      </w:rPr>
    </w:lvl>
    <w:lvl w:ilvl="6" w:tplc="8738D886">
      <w:start w:val="1"/>
      <w:numFmt w:val="bullet"/>
      <w:lvlText w:val="·"/>
      <w:lvlJc w:val="left"/>
      <w:pPr>
        <w:ind w:left="5040" w:hanging="360"/>
      </w:pPr>
      <w:rPr>
        <w:rFonts w:ascii="Symbol" w:eastAsia="Symbol" w:hAnsi="Symbol" w:cs="Symbol" w:hint="default"/>
      </w:rPr>
    </w:lvl>
    <w:lvl w:ilvl="7" w:tplc="0BC040F8">
      <w:start w:val="1"/>
      <w:numFmt w:val="bullet"/>
      <w:lvlText w:val="o"/>
      <w:lvlJc w:val="left"/>
      <w:pPr>
        <w:ind w:left="5760" w:hanging="360"/>
      </w:pPr>
      <w:rPr>
        <w:rFonts w:ascii="Courier New" w:eastAsia="Courier New" w:hAnsi="Courier New" w:cs="Courier New" w:hint="default"/>
      </w:rPr>
    </w:lvl>
    <w:lvl w:ilvl="8" w:tplc="BC2EC0F8">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48BC1947"/>
    <w:multiLevelType w:val="hybridMultilevel"/>
    <w:tmpl w:val="F8E4FB86"/>
    <w:lvl w:ilvl="0" w:tplc="CAB06F5C">
      <w:start w:val="1"/>
      <w:numFmt w:val="decimal"/>
      <w:pStyle w:val="30"/>
      <w:lvlText w:val="%1."/>
      <w:lvlJc w:val="left"/>
      <w:pPr>
        <w:tabs>
          <w:tab w:val="num" w:pos="1080"/>
        </w:tabs>
        <w:ind w:left="1080" w:hanging="360"/>
      </w:pPr>
    </w:lvl>
    <w:lvl w:ilvl="1" w:tplc="7A86F020">
      <w:start w:val="1"/>
      <w:numFmt w:val="bullet"/>
      <w:lvlText w:val="o"/>
      <w:lvlJc w:val="left"/>
      <w:pPr>
        <w:ind w:left="1440" w:hanging="360"/>
      </w:pPr>
      <w:rPr>
        <w:rFonts w:ascii="Courier New" w:eastAsia="Courier New" w:hAnsi="Courier New" w:cs="Courier New" w:hint="default"/>
      </w:rPr>
    </w:lvl>
    <w:lvl w:ilvl="2" w:tplc="B9462D3C">
      <w:start w:val="1"/>
      <w:numFmt w:val="bullet"/>
      <w:lvlText w:val="§"/>
      <w:lvlJc w:val="left"/>
      <w:pPr>
        <w:ind w:left="2160" w:hanging="360"/>
      </w:pPr>
      <w:rPr>
        <w:rFonts w:ascii="Wingdings" w:eastAsia="Wingdings" w:hAnsi="Wingdings" w:cs="Wingdings" w:hint="default"/>
      </w:rPr>
    </w:lvl>
    <w:lvl w:ilvl="3" w:tplc="D3BED21E">
      <w:start w:val="1"/>
      <w:numFmt w:val="bullet"/>
      <w:lvlText w:val="·"/>
      <w:lvlJc w:val="left"/>
      <w:pPr>
        <w:ind w:left="2880" w:hanging="360"/>
      </w:pPr>
      <w:rPr>
        <w:rFonts w:ascii="Symbol" w:eastAsia="Symbol" w:hAnsi="Symbol" w:cs="Symbol" w:hint="default"/>
      </w:rPr>
    </w:lvl>
    <w:lvl w:ilvl="4" w:tplc="55262160">
      <w:start w:val="1"/>
      <w:numFmt w:val="bullet"/>
      <w:lvlText w:val="o"/>
      <w:lvlJc w:val="left"/>
      <w:pPr>
        <w:ind w:left="3600" w:hanging="360"/>
      </w:pPr>
      <w:rPr>
        <w:rFonts w:ascii="Courier New" w:eastAsia="Courier New" w:hAnsi="Courier New" w:cs="Courier New" w:hint="default"/>
      </w:rPr>
    </w:lvl>
    <w:lvl w:ilvl="5" w:tplc="B84A7EBC">
      <w:start w:val="1"/>
      <w:numFmt w:val="bullet"/>
      <w:lvlText w:val="§"/>
      <w:lvlJc w:val="left"/>
      <w:pPr>
        <w:ind w:left="4320" w:hanging="360"/>
      </w:pPr>
      <w:rPr>
        <w:rFonts w:ascii="Wingdings" w:eastAsia="Wingdings" w:hAnsi="Wingdings" w:cs="Wingdings" w:hint="default"/>
      </w:rPr>
    </w:lvl>
    <w:lvl w:ilvl="6" w:tplc="806C1716">
      <w:start w:val="1"/>
      <w:numFmt w:val="bullet"/>
      <w:lvlText w:val="·"/>
      <w:lvlJc w:val="left"/>
      <w:pPr>
        <w:ind w:left="5040" w:hanging="360"/>
      </w:pPr>
      <w:rPr>
        <w:rFonts w:ascii="Symbol" w:eastAsia="Symbol" w:hAnsi="Symbol" w:cs="Symbol" w:hint="default"/>
      </w:rPr>
    </w:lvl>
    <w:lvl w:ilvl="7" w:tplc="098C9A5E">
      <w:start w:val="1"/>
      <w:numFmt w:val="bullet"/>
      <w:lvlText w:val="o"/>
      <w:lvlJc w:val="left"/>
      <w:pPr>
        <w:ind w:left="5760" w:hanging="360"/>
      </w:pPr>
      <w:rPr>
        <w:rFonts w:ascii="Courier New" w:eastAsia="Courier New" w:hAnsi="Courier New" w:cs="Courier New" w:hint="default"/>
      </w:rPr>
    </w:lvl>
    <w:lvl w:ilvl="8" w:tplc="B1BC2C32">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4BA243F0"/>
    <w:multiLevelType w:val="hybridMultilevel"/>
    <w:tmpl w:val="3BE8C2B0"/>
    <w:lvl w:ilvl="0" w:tplc="4D3087A6">
      <w:start w:val="1"/>
      <w:numFmt w:val="bullet"/>
      <w:lvlText w:val=""/>
      <w:lvlJc w:val="left"/>
      <w:pPr>
        <w:tabs>
          <w:tab w:val="num" w:pos="1440"/>
        </w:tabs>
        <w:ind w:left="1440" w:hanging="360"/>
      </w:pPr>
      <w:rPr>
        <w:rFonts w:ascii="Symbol" w:hAnsi="Symbol" w:hint="default"/>
      </w:rPr>
    </w:lvl>
    <w:lvl w:ilvl="1" w:tplc="50CADF0C">
      <w:start w:val="1"/>
      <w:numFmt w:val="bullet"/>
      <w:lvlText w:val="o"/>
      <w:lvlJc w:val="left"/>
      <w:pPr>
        <w:ind w:left="1440" w:hanging="360"/>
      </w:pPr>
      <w:rPr>
        <w:rFonts w:ascii="Courier New" w:eastAsia="Courier New" w:hAnsi="Courier New" w:cs="Courier New" w:hint="default"/>
      </w:rPr>
    </w:lvl>
    <w:lvl w:ilvl="2" w:tplc="7E02AB08">
      <w:start w:val="1"/>
      <w:numFmt w:val="bullet"/>
      <w:lvlText w:val="§"/>
      <w:lvlJc w:val="left"/>
      <w:pPr>
        <w:ind w:left="2160" w:hanging="360"/>
      </w:pPr>
      <w:rPr>
        <w:rFonts w:ascii="Wingdings" w:eastAsia="Wingdings" w:hAnsi="Wingdings" w:cs="Wingdings" w:hint="default"/>
      </w:rPr>
    </w:lvl>
    <w:lvl w:ilvl="3" w:tplc="D844423E">
      <w:start w:val="1"/>
      <w:numFmt w:val="bullet"/>
      <w:lvlText w:val="·"/>
      <w:lvlJc w:val="left"/>
      <w:pPr>
        <w:ind w:left="2880" w:hanging="360"/>
      </w:pPr>
      <w:rPr>
        <w:rFonts w:ascii="Symbol" w:eastAsia="Symbol" w:hAnsi="Symbol" w:cs="Symbol" w:hint="default"/>
      </w:rPr>
    </w:lvl>
    <w:lvl w:ilvl="4" w:tplc="CF161496">
      <w:start w:val="1"/>
      <w:numFmt w:val="bullet"/>
      <w:lvlText w:val="o"/>
      <w:lvlJc w:val="left"/>
      <w:pPr>
        <w:ind w:left="3600" w:hanging="360"/>
      </w:pPr>
      <w:rPr>
        <w:rFonts w:ascii="Courier New" w:eastAsia="Courier New" w:hAnsi="Courier New" w:cs="Courier New" w:hint="default"/>
      </w:rPr>
    </w:lvl>
    <w:lvl w:ilvl="5" w:tplc="0630BBFE">
      <w:start w:val="1"/>
      <w:numFmt w:val="bullet"/>
      <w:lvlText w:val="§"/>
      <w:lvlJc w:val="left"/>
      <w:pPr>
        <w:ind w:left="4320" w:hanging="360"/>
      </w:pPr>
      <w:rPr>
        <w:rFonts w:ascii="Wingdings" w:eastAsia="Wingdings" w:hAnsi="Wingdings" w:cs="Wingdings" w:hint="default"/>
      </w:rPr>
    </w:lvl>
    <w:lvl w:ilvl="6" w:tplc="8668DED6">
      <w:start w:val="1"/>
      <w:numFmt w:val="bullet"/>
      <w:lvlText w:val="·"/>
      <w:lvlJc w:val="left"/>
      <w:pPr>
        <w:ind w:left="5040" w:hanging="360"/>
      </w:pPr>
      <w:rPr>
        <w:rFonts w:ascii="Symbol" w:eastAsia="Symbol" w:hAnsi="Symbol" w:cs="Symbol" w:hint="default"/>
      </w:rPr>
    </w:lvl>
    <w:lvl w:ilvl="7" w:tplc="59E0727C">
      <w:start w:val="1"/>
      <w:numFmt w:val="bullet"/>
      <w:lvlText w:val="o"/>
      <w:lvlJc w:val="left"/>
      <w:pPr>
        <w:ind w:left="5760" w:hanging="360"/>
      </w:pPr>
      <w:rPr>
        <w:rFonts w:ascii="Courier New" w:eastAsia="Courier New" w:hAnsi="Courier New" w:cs="Courier New" w:hint="default"/>
      </w:rPr>
    </w:lvl>
    <w:lvl w:ilvl="8" w:tplc="5AB8DD88">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651764A6"/>
    <w:multiLevelType w:val="hybridMultilevel"/>
    <w:tmpl w:val="1F0EBB36"/>
    <w:lvl w:ilvl="0" w:tplc="960232E8">
      <w:start w:val="1"/>
      <w:numFmt w:val="bullet"/>
      <w:pStyle w:val="20"/>
      <w:lvlText w:val=""/>
      <w:lvlJc w:val="left"/>
      <w:pPr>
        <w:tabs>
          <w:tab w:val="num" w:pos="720"/>
        </w:tabs>
        <w:ind w:left="720" w:hanging="360"/>
      </w:pPr>
      <w:rPr>
        <w:rFonts w:ascii="Symbol" w:hAnsi="Symbol" w:hint="default"/>
      </w:rPr>
    </w:lvl>
    <w:lvl w:ilvl="1" w:tplc="6E16DDBA">
      <w:start w:val="1"/>
      <w:numFmt w:val="bullet"/>
      <w:lvlText w:val="o"/>
      <w:lvlJc w:val="left"/>
      <w:pPr>
        <w:ind w:left="1440" w:hanging="360"/>
      </w:pPr>
      <w:rPr>
        <w:rFonts w:ascii="Courier New" w:eastAsia="Courier New" w:hAnsi="Courier New" w:cs="Courier New" w:hint="default"/>
      </w:rPr>
    </w:lvl>
    <w:lvl w:ilvl="2" w:tplc="A49C8FC4">
      <w:start w:val="1"/>
      <w:numFmt w:val="bullet"/>
      <w:lvlText w:val="§"/>
      <w:lvlJc w:val="left"/>
      <w:pPr>
        <w:ind w:left="2160" w:hanging="360"/>
      </w:pPr>
      <w:rPr>
        <w:rFonts w:ascii="Wingdings" w:eastAsia="Wingdings" w:hAnsi="Wingdings" w:cs="Wingdings" w:hint="default"/>
      </w:rPr>
    </w:lvl>
    <w:lvl w:ilvl="3" w:tplc="B6C8A320">
      <w:start w:val="1"/>
      <w:numFmt w:val="bullet"/>
      <w:lvlText w:val="·"/>
      <w:lvlJc w:val="left"/>
      <w:pPr>
        <w:ind w:left="2880" w:hanging="360"/>
      </w:pPr>
      <w:rPr>
        <w:rFonts w:ascii="Symbol" w:eastAsia="Symbol" w:hAnsi="Symbol" w:cs="Symbol" w:hint="default"/>
      </w:rPr>
    </w:lvl>
    <w:lvl w:ilvl="4" w:tplc="79D8B170">
      <w:start w:val="1"/>
      <w:numFmt w:val="bullet"/>
      <w:lvlText w:val="o"/>
      <w:lvlJc w:val="left"/>
      <w:pPr>
        <w:ind w:left="3600" w:hanging="360"/>
      </w:pPr>
      <w:rPr>
        <w:rFonts w:ascii="Courier New" w:eastAsia="Courier New" w:hAnsi="Courier New" w:cs="Courier New" w:hint="default"/>
      </w:rPr>
    </w:lvl>
    <w:lvl w:ilvl="5" w:tplc="B8B80CFC">
      <w:start w:val="1"/>
      <w:numFmt w:val="bullet"/>
      <w:lvlText w:val="§"/>
      <w:lvlJc w:val="left"/>
      <w:pPr>
        <w:ind w:left="4320" w:hanging="360"/>
      </w:pPr>
      <w:rPr>
        <w:rFonts w:ascii="Wingdings" w:eastAsia="Wingdings" w:hAnsi="Wingdings" w:cs="Wingdings" w:hint="default"/>
      </w:rPr>
    </w:lvl>
    <w:lvl w:ilvl="6" w:tplc="6930E388">
      <w:start w:val="1"/>
      <w:numFmt w:val="bullet"/>
      <w:lvlText w:val="·"/>
      <w:lvlJc w:val="left"/>
      <w:pPr>
        <w:ind w:left="5040" w:hanging="360"/>
      </w:pPr>
      <w:rPr>
        <w:rFonts w:ascii="Symbol" w:eastAsia="Symbol" w:hAnsi="Symbol" w:cs="Symbol" w:hint="default"/>
      </w:rPr>
    </w:lvl>
    <w:lvl w:ilvl="7" w:tplc="7382BC0E">
      <w:start w:val="1"/>
      <w:numFmt w:val="bullet"/>
      <w:lvlText w:val="o"/>
      <w:lvlJc w:val="left"/>
      <w:pPr>
        <w:ind w:left="5760" w:hanging="360"/>
      </w:pPr>
      <w:rPr>
        <w:rFonts w:ascii="Courier New" w:eastAsia="Courier New" w:hAnsi="Courier New" w:cs="Courier New" w:hint="default"/>
      </w:rPr>
    </w:lvl>
    <w:lvl w:ilvl="8" w:tplc="11E6F0D2">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6B9D37B7"/>
    <w:multiLevelType w:val="hybridMultilevel"/>
    <w:tmpl w:val="5A249296"/>
    <w:lvl w:ilvl="0" w:tplc="F140A848">
      <w:start w:val="1"/>
      <w:numFmt w:val="bullet"/>
      <w:pStyle w:val="a0"/>
      <w:lvlText w:val=""/>
      <w:lvlJc w:val="left"/>
      <w:pPr>
        <w:tabs>
          <w:tab w:val="num" w:pos="360"/>
        </w:tabs>
        <w:ind w:left="360" w:hanging="360"/>
      </w:pPr>
      <w:rPr>
        <w:rFonts w:ascii="Symbol" w:hAnsi="Symbol" w:hint="default"/>
      </w:rPr>
    </w:lvl>
    <w:lvl w:ilvl="1" w:tplc="6BB8DD76">
      <w:start w:val="1"/>
      <w:numFmt w:val="bullet"/>
      <w:lvlText w:val="o"/>
      <w:lvlJc w:val="left"/>
      <w:pPr>
        <w:ind w:left="1440" w:hanging="360"/>
      </w:pPr>
      <w:rPr>
        <w:rFonts w:ascii="Courier New" w:eastAsia="Courier New" w:hAnsi="Courier New" w:cs="Courier New" w:hint="default"/>
      </w:rPr>
    </w:lvl>
    <w:lvl w:ilvl="2" w:tplc="B52E325E">
      <w:start w:val="1"/>
      <w:numFmt w:val="bullet"/>
      <w:lvlText w:val="§"/>
      <w:lvlJc w:val="left"/>
      <w:pPr>
        <w:ind w:left="2160" w:hanging="360"/>
      </w:pPr>
      <w:rPr>
        <w:rFonts w:ascii="Wingdings" w:eastAsia="Wingdings" w:hAnsi="Wingdings" w:cs="Wingdings" w:hint="default"/>
      </w:rPr>
    </w:lvl>
    <w:lvl w:ilvl="3" w:tplc="A56E1616">
      <w:start w:val="1"/>
      <w:numFmt w:val="bullet"/>
      <w:lvlText w:val="·"/>
      <w:lvlJc w:val="left"/>
      <w:pPr>
        <w:ind w:left="2880" w:hanging="360"/>
      </w:pPr>
      <w:rPr>
        <w:rFonts w:ascii="Symbol" w:eastAsia="Symbol" w:hAnsi="Symbol" w:cs="Symbol" w:hint="default"/>
      </w:rPr>
    </w:lvl>
    <w:lvl w:ilvl="4" w:tplc="AF3E4B1A">
      <w:start w:val="1"/>
      <w:numFmt w:val="bullet"/>
      <w:lvlText w:val="o"/>
      <w:lvlJc w:val="left"/>
      <w:pPr>
        <w:ind w:left="3600" w:hanging="360"/>
      </w:pPr>
      <w:rPr>
        <w:rFonts w:ascii="Courier New" w:eastAsia="Courier New" w:hAnsi="Courier New" w:cs="Courier New" w:hint="default"/>
      </w:rPr>
    </w:lvl>
    <w:lvl w:ilvl="5" w:tplc="8932C790">
      <w:start w:val="1"/>
      <w:numFmt w:val="bullet"/>
      <w:lvlText w:val="§"/>
      <w:lvlJc w:val="left"/>
      <w:pPr>
        <w:ind w:left="4320" w:hanging="360"/>
      </w:pPr>
      <w:rPr>
        <w:rFonts w:ascii="Wingdings" w:eastAsia="Wingdings" w:hAnsi="Wingdings" w:cs="Wingdings" w:hint="default"/>
      </w:rPr>
    </w:lvl>
    <w:lvl w:ilvl="6" w:tplc="79CAB7CE">
      <w:start w:val="1"/>
      <w:numFmt w:val="bullet"/>
      <w:lvlText w:val="·"/>
      <w:lvlJc w:val="left"/>
      <w:pPr>
        <w:ind w:left="5040" w:hanging="360"/>
      </w:pPr>
      <w:rPr>
        <w:rFonts w:ascii="Symbol" w:eastAsia="Symbol" w:hAnsi="Symbol" w:cs="Symbol" w:hint="default"/>
      </w:rPr>
    </w:lvl>
    <w:lvl w:ilvl="7" w:tplc="06820C28">
      <w:start w:val="1"/>
      <w:numFmt w:val="bullet"/>
      <w:lvlText w:val="o"/>
      <w:lvlJc w:val="left"/>
      <w:pPr>
        <w:ind w:left="5760" w:hanging="360"/>
      </w:pPr>
      <w:rPr>
        <w:rFonts w:ascii="Courier New" w:eastAsia="Courier New" w:hAnsi="Courier New" w:cs="Courier New" w:hint="default"/>
      </w:rPr>
    </w:lvl>
    <w:lvl w:ilvl="8" w:tplc="945AB1B6">
      <w:start w:val="1"/>
      <w:numFmt w:val="bullet"/>
      <w:lvlText w:val="§"/>
      <w:lvlJc w:val="left"/>
      <w:pPr>
        <w:ind w:left="6480" w:hanging="360"/>
      </w:pPr>
      <w:rPr>
        <w:rFonts w:ascii="Wingdings" w:eastAsia="Wingdings" w:hAnsi="Wingdings" w:cs="Wingdings" w:hint="default"/>
      </w:rPr>
    </w:lvl>
  </w:abstractNum>
  <w:num w:numId="1" w16cid:durableId="1690180519">
    <w:abstractNumId w:val="8"/>
  </w:num>
  <w:num w:numId="2" w16cid:durableId="1164475211">
    <w:abstractNumId w:val="7"/>
  </w:num>
  <w:num w:numId="3" w16cid:durableId="2066178875">
    <w:abstractNumId w:val="1"/>
  </w:num>
  <w:num w:numId="4" w16cid:durableId="1942253995">
    <w:abstractNumId w:val="6"/>
  </w:num>
  <w:num w:numId="5" w16cid:durableId="1774203201">
    <w:abstractNumId w:val="4"/>
  </w:num>
  <w:num w:numId="6" w16cid:durableId="946738965">
    <w:abstractNumId w:val="3"/>
  </w:num>
  <w:num w:numId="7" w16cid:durableId="357319733">
    <w:abstractNumId w:val="5"/>
  </w:num>
  <w:num w:numId="8" w16cid:durableId="1712876400">
    <w:abstractNumId w:val="2"/>
  </w:num>
  <w:num w:numId="9" w16cid:durableId="254555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60A9"/>
    <w:rsid w:val="000260A9"/>
    <w:rsid w:val="000E1789"/>
    <w:rsid w:val="003A017E"/>
    <w:rsid w:val="0053622D"/>
    <w:rsid w:val="005D203F"/>
    <w:rsid w:val="00982086"/>
    <w:rsid w:val="00D10A65"/>
    <w:rsid w:val="00D74D4F"/>
    <w:rsid w:val="00E708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EB300"/>
  <w15:docId w15:val="{74B726CA-F527-4984-A6A6-23CBF977E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rFonts w:ascii="Times New Roman" w:eastAsia="Times New Roman" w:hAnsi="Times New Roman"/>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1Char">
    <w:name w:val="Heading 1 Char"/>
    <w:basedOn w:val="a2"/>
    <w:uiPriority w:val="9"/>
    <w:rPr>
      <w:rFonts w:ascii="Liberation Sans" w:eastAsia="Liberation Sans" w:hAnsi="Liberation Sans" w:cs="Liberation Sans"/>
      <w:sz w:val="40"/>
      <w:szCs w:val="40"/>
    </w:rPr>
  </w:style>
  <w:style w:type="character" w:customStyle="1" w:styleId="Heading2Char">
    <w:name w:val="Heading 2 Char"/>
    <w:basedOn w:val="a2"/>
    <w:uiPriority w:val="9"/>
    <w:rPr>
      <w:rFonts w:ascii="Liberation Sans" w:eastAsia="Liberation Sans" w:hAnsi="Liberation Sans" w:cs="Liberation Sans"/>
      <w:sz w:val="34"/>
    </w:rPr>
  </w:style>
  <w:style w:type="character" w:customStyle="1" w:styleId="Heading3Char">
    <w:name w:val="Heading 3 Char"/>
    <w:basedOn w:val="a2"/>
    <w:uiPriority w:val="9"/>
    <w:rPr>
      <w:rFonts w:ascii="Liberation Sans" w:eastAsia="Liberation Sans" w:hAnsi="Liberation Sans" w:cs="Liberation Sans"/>
      <w:sz w:val="30"/>
      <w:szCs w:val="30"/>
    </w:rPr>
  </w:style>
  <w:style w:type="character" w:customStyle="1" w:styleId="Heading4Char">
    <w:name w:val="Heading 4 Char"/>
    <w:basedOn w:val="a2"/>
    <w:uiPriority w:val="9"/>
    <w:rPr>
      <w:rFonts w:ascii="Liberation Sans" w:eastAsia="Liberation Sans" w:hAnsi="Liberation Sans" w:cs="Liberation Sans"/>
      <w:b/>
      <w:bCs/>
      <w:sz w:val="26"/>
      <w:szCs w:val="26"/>
    </w:rPr>
  </w:style>
  <w:style w:type="character" w:customStyle="1" w:styleId="Heading5Char">
    <w:name w:val="Heading 5 Char"/>
    <w:basedOn w:val="a2"/>
    <w:uiPriority w:val="9"/>
    <w:rPr>
      <w:rFonts w:ascii="Liberation Sans" w:eastAsia="Liberation Sans" w:hAnsi="Liberation Sans" w:cs="Liberation Sans"/>
      <w:b/>
      <w:bCs/>
      <w:sz w:val="24"/>
      <w:szCs w:val="24"/>
    </w:rPr>
  </w:style>
  <w:style w:type="character" w:customStyle="1" w:styleId="Heading6Char">
    <w:name w:val="Heading 6 Char"/>
    <w:basedOn w:val="a2"/>
    <w:uiPriority w:val="9"/>
    <w:rPr>
      <w:rFonts w:ascii="Liberation Sans" w:eastAsia="Liberation Sans" w:hAnsi="Liberation Sans" w:cs="Liberation Sans"/>
      <w:b/>
      <w:bCs/>
      <w:sz w:val="22"/>
      <w:szCs w:val="22"/>
    </w:rPr>
  </w:style>
  <w:style w:type="character" w:customStyle="1" w:styleId="Heading7Char">
    <w:name w:val="Heading 7 Char"/>
    <w:basedOn w:val="a2"/>
    <w:uiPriority w:val="9"/>
    <w:rPr>
      <w:rFonts w:ascii="Liberation Sans" w:eastAsia="Liberation Sans" w:hAnsi="Liberation Sans" w:cs="Liberation Sans"/>
      <w:b/>
      <w:bCs/>
      <w:i/>
      <w:iCs/>
      <w:sz w:val="22"/>
      <w:szCs w:val="22"/>
    </w:rPr>
  </w:style>
  <w:style w:type="character" w:customStyle="1" w:styleId="Heading8Char">
    <w:name w:val="Heading 8 Char"/>
    <w:basedOn w:val="a2"/>
    <w:uiPriority w:val="9"/>
    <w:rPr>
      <w:rFonts w:ascii="Liberation Sans" w:eastAsia="Liberation Sans" w:hAnsi="Liberation Sans" w:cs="Liberation Sans"/>
      <w:i/>
      <w:iCs/>
      <w:sz w:val="22"/>
      <w:szCs w:val="22"/>
    </w:rPr>
  </w:style>
  <w:style w:type="character" w:customStyle="1" w:styleId="Heading9Char">
    <w:name w:val="Heading 9 Char"/>
    <w:basedOn w:val="a2"/>
    <w:uiPriority w:val="9"/>
    <w:rPr>
      <w:rFonts w:ascii="Liberation Sans" w:eastAsia="Liberation Sans" w:hAnsi="Liberation Sans" w:cs="Liberation Sans"/>
      <w:i/>
      <w:iCs/>
      <w:sz w:val="21"/>
      <w:szCs w:val="21"/>
    </w:rPr>
  </w:style>
  <w:style w:type="character" w:customStyle="1" w:styleId="TitleChar">
    <w:name w:val="Title Char"/>
    <w:basedOn w:val="a2"/>
    <w:uiPriority w:val="10"/>
    <w:rPr>
      <w:sz w:val="48"/>
      <w:szCs w:val="48"/>
    </w:rPr>
  </w:style>
  <w:style w:type="character" w:customStyle="1" w:styleId="SubtitleChar">
    <w:name w:val="Subtitle Char"/>
    <w:basedOn w:val="a2"/>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2"/>
    <w:uiPriority w:val="99"/>
  </w:style>
  <w:style w:type="character" w:customStyle="1" w:styleId="FooterChar">
    <w:name w:val="Footer Char"/>
    <w:basedOn w:val="a2"/>
    <w:uiPriority w:val="99"/>
  </w:style>
  <w:style w:type="character" w:customStyle="1" w:styleId="a5">
    <w:name w:val="Название объекта Знак"/>
    <w:basedOn w:val="a2"/>
    <w:link w:val="a6"/>
    <w:uiPriority w:val="35"/>
    <w:rPr>
      <w:b/>
      <w:bCs/>
      <w:color w:val="4F81BD" w:themeColor="accent1"/>
      <w:sz w:val="18"/>
      <w:szCs w:val="18"/>
    </w:rPr>
  </w:style>
  <w:style w:type="table" w:customStyle="1" w:styleId="TableGridLight">
    <w:name w:val="Table Grid Light"/>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3"/>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3">
    <w:name w:val="Plain Table 3"/>
    <w:basedOn w:val="a3"/>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3"/>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3"/>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3"/>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3"/>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3"/>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3"/>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3"/>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3"/>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3"/>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3"/>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3"/>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3"/>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3"/>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3"/>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3"/>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3"/>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3"/>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3"/>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3"/>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3"/>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3"/>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3"/>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3"/>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3"/>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3"/>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3"/>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3"/>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3"/>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3"/>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3"/>
    <w:uiPriority w:val="99"/>
    <w:pPr>
      <w:spacing w:after="0" w:line="240" w:lineRule="auto"/>
    </w:pPr>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3"/>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3"/>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3"/>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3"/>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3"/>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pPr>
      <w:spacing w:after="0" w:line="240" w:lineRule="auto"/>
    </w:pPr>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pPr>
      <w:spacing w:after="0" w:line="240" w:lineRule="auto"/>
    </w:pPr>
    <w:rPr>
      <w:color w:val="404040"/>
      <w:sz w:val="20"/>
      <w:szCs w:val="20"/>
      <w:lang w:val="ru-RU"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pPr>
      <w:spacing w:after="0" w:line="240" w:lineRule="auto"/>
    </w:pPr>
    <w:rPr>
      <w:color w:val="404040"/>
      <w:sz w:val="20"/>
      <w:szCs w:val="20"/>
      <w:lang w:val="ru-RU"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pPr>
      <w:spacing w:after="0" w:line="240" w:lineRule="auto"/>
    </w:pPr>
    <w:rPr>
      <w:color w:val="404040"/>
      <w:sz w:val="20"/>
      <w:szCs w:val="20"/>
      <w:lang w:val="ru-RU"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pPr>
      <w:spacing w:after="0" w:line="240" w:lineRule="auto"/>
    </w:pPr>
    <w:rPr>
      <w:color w:val="404040"/>
      <w:sz w:val="20"/>
      <w:szCs w:val="20"/>
      <w:lang w:val="ru-RU"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pPr>
      <w:spacing w:after="0" w:line="240" w:lineRule="auto"/>
    </w:pPr>
    <w:rPr>
      <w:color w:val="404040"/>
      <w:sz w:val="20"/>
      <w:szCs w:val="20"/>
      <w:lang w:val="ru-RU"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pPr>
      <w:spacing w:after="0" w:line="240" w:lineRule="auto"/>
    </w:pPr>
    <w:rPr>
      <w:color w:val="404040"/>
      <w:sz w:val="20"/>
      <w:szCs w:val="20"/>
      <w:lang w:val="ru-RU"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7">
    <w:name w:val="footnote text"/>
    <w:basedOn w:val="a1"/>
    <w:link w:val="a8"/>
    <w:uiPriority w:val="99"/>
    <w:semiHidden/>
    <w:unhideWhenUsed/>
    <w:pPr>
      <w:spacing w:after="40" w:line="240" w:lineRule="auto"/>
    </w:pPr>
    <w:rPr>
      <w:sz w:val="18"/>
    </w:rPr>
  </w:style>
  <w:style w:type="character" w:customStyle="1" w:styleId="a8">
    <w:name w:val="Текст сноски Знак"/>
    <w:link w:val="a7"/>
    <w:uiPriority w:val="99"/>
    <w:rPr>
      <w:sz w:val="18"/>
    </w:rPr>
  </w:style>
  <w:style w:type="character" w:styleId="a9">
    <w:name w:val="footnote reference"/>
    <w:basedOn w:val="a2"/>
    <w:uiPriority w:val="99"/>
    <w:unhideWhenUsed/>
    <w:rPr>
      <w:vertAlign w:val="superscript"/>
    </w:rPr>
  </w:style>
  <w:style w:type="paragraph" w:styleId="aa">
    <w:name w:val="endnote text"/>
    <w:basedOn w:val="a1"/>
    <w:link w:val="ab"/>
    <w:uiPriority w:val="99"/>
    <w:semiHidden/>
    <w:unhideWhenUsed/>
    <w:pPr>
      <w:spacing w:after="0" w:line="240" w:lineRule="auto"/>
    </w:pPr>
    <w:rPr>
      <w:sz w:val="20"/>
    </w:rPr>
  </w:style>
  <w:style w:type="character" w:customStyle="1" w:styleId="ab">
    <w:name w:val="Текст концевой сноски Знак"/>
    <w:link w:val="aa"/>
    <w:uiPriority w:val="99"/>
    <w:rPr>
      <w:sz w:val="20"/>
    </w:rPr>
  </w:style>
  <w:style w:type="character" w:styleId="ac">
    <w:name w:val="endnote reference"/>
    <w:basedOn w:val="a2"/>
    <w:uiPriority w:val="99"/>
    <w:semiHidden/>
    <w:unhideWhenUsed/>
    <w:rPr>
      <w:vertAlign w:val="superscript"/>
    </w:rPr>
  </w:style>
  <w:style w:type="paragraph" w:styleId="12">
    <w:name w:val="toc 1"/>
    <w:basedOn w:val="a1"/>
    <w:next w:val="a1"/>
    <w:uiPriority w:val="39"/>
    <w:unhideWhenUsed/>
    <w:pPr>
      <w:spacing w:after="57"/>
    </w:pPr>
  </w:style>
  <w:style w:type="paragraph" w:styleId="24">
    <w:name w:val="toc 2"/>
    <w:basedOn w:val="a1"/>
    <w:next w:val="a1"/>
    <w:uiPriority w:val="39"/>
    <w:unhideWhenUsed/>
    <w:pPr>
      <w:spacing w:after="57"/>
      <w:ind w:left="283"/>
    </w:pPr>
  </w:style>
  <w:style w:type="paragraph" w:styleId="34">
    <w:name w:val="toc 3"/>
    <w:basedOn w:val="a1"/>
    <w:next w:val="a1"/>
    <w:uiPriority w:val="39"/>
    <w:unhideWhenUsed/>
    <w:pPr>
      <w:spacing w:after="57"/>
      <w:ind w:left="567"/>
    </w:pPr>
  </w:style>
  <w:style w:type="paragraph" w:styleId="42">
    <w:name w:val="toc 4"/>
    <w:basedOn w:val="a1"/>
    <w:next w:val="a1"/>
    <w:uiPriority w:val="39"/>
    <w:unhideWhenUsed/>
    <w:pPr>
      <w:spacing w:after="57"/>
      <w:ind w:left="850"/>
    </w:pPr>
  </w:style>
  <w:style w:type="paragraph" w:styleId="52">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d">
    <w:name w:val="table of figures"/>
    <w:basedOn w:val="a1"/>
    <w:next w:val="a1"/>
    <w:uiPriority w:val="99"/>
    <w:unhideWhenUsed/>
    <w:pPr>
      <w:spacing w:after="0"/>
    </w:pPr>
  </w:style>
  <w:style w:type="paragraph" w:styleId="ae">
    <w:name w:val="header"/>
    <w:basedOn w:val="a1"/>
    <w:link w:val="af"/>
    <w:uiPriority w:val="99"/>
    <w:unhideWhenUsed/>
    <w:pPr>
      <w:tabs>
        <w:tab w:val="center" w:pos="4680"/>
        <w:tab w:val="right" w:pos="9360"/>
      </w:tabs>
      <w:spacing w:after="0" w:line="240" w:lineRule="auto"/>
    </w:pPr>
  </w:style>
  <w:style w:type="character" w:customStyle="1" w:styleId="af">
    <w:name w:val="Верхний колонтитул Знак"/>
    <w:basedOn w:val="a2"/>
    <w:link w:val="ae"/>
    <w:uiPriority w:val="99"/>
  </w:style>
  <w:style w:type="paragraph" w:styleId="af0">
    <w:name w:val="footer"/>
    <w:basedOn w:val="a1"/>
    <w:link w:val="af1"/>
    <w:uiPriority w:val="99"/>
    <w:unhideWhenUsed/>
    <w:pPr>
      <w:tabs>
        <w:tab w:val="center" w:pos="4680"/>
        <w:tab w:val="right" w:pos="9360"/>
      </w:tabs>
      <w:spacing w:after="0" w:line="240" w:lineRule="auto"/>
    </w:pPr>
  </w:style>
  <w:style w:type="character" w:customStyle="1" w:styleId="af1">
    <w:name w:val="Нижний колонтитул Знак"/>
    <w:basedOn w:val="a2"/>
    <w:link w:val="af0"/>
    <w:uiPriority w:val="99"/>
  </w:style>
  <w:style w:type="paragraph" w:styleId="af2">
    <w:name w:val="No Spacing"/>
    <w:uiPriority w:val="1"/>
    <w:qFormat/>
    <w:pPr>
      <w:spacing w:after="0" w:line="240" w:lineRule="auto"/>
    </w:p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f3">
    <w:name w:val="Title"/>
    <w:basedOn w:val="a1"/>
    <w:next w:val="a1"/>
    <w:link w:val="af4"/>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af4">
    <w:name w:val="Заголовок Знак"/>
    <w:basedOn w:val="a2"/>
    <w:link w:val="af3"/>
    <w:uiPriority w:val="10"/>
    <w:rPr>
      <w:rFonts w:asciiTheme="majorHAnsi" w:eastAsiaTheme="majorEastAsia" w:hAnsiTheme="majorHAnsi" w:cstheme="majorBidi"/>
      <w:color w:val="17365D" w:themeColor="text2" w:themeShade="BF"/>
      <w:spacing w:val="5"/>
      <w:sz w:val="52"/>
      <w:szCs w:val="52"/>
    </w:rPr>
  </w:style>
  <w:style w:type="paragraph" w:styleId="af5">
    <w:name w:val="Subtitle"/>
    <w:basedOn w:val="a1"/>
    <w:next w:val="a1"/>
    <w:link w:val="af6"/>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6">
    <w:name w:val="Подзаголовок Знак"/>
    <w:basedOn w:val="a2"/>
    <w:link w:val="af5"/>
    <w:uiPriority w:val="11"/>
    <w:rPr>
      <w:rFonts w:asciiTheme="majorHAnsi" w:eastAsiaTheme="majorEastAsia" w:hAnsiTheme="majorHAnsi" w:cstheme="majorBidi"/>
      <w:i/>
      <w:iCs/>
      <w:color w:val="4F81BD" w:themeColor="accent1"/>
      <w:spacing w:val="15"/>
      <w:sz w:val="24"/>
      <w:szCs w:val="24"/>
    </w:rPr>
  </w:style>
  <w:style w:type="paragraph" w:styleId="af7">
    <w:name w:val="List Paragraph"/>
    <w:basedOn w:val="a1"/>
    <w:uiPriority w:val="34"/>
    <w:qFormat/>
    <w:pPr>
      <w:ind w:left="720"/>
      <w:contextualSpacing/>
    </w:pPr>
  </w:style>
  <w:style w:type="paragraph" w:styleId="af8">
    <w:name w:val="Body Text"/>
    <w:basedOn w:val="a1"/>
    <w:link w:val="af9"/>
    <w:uiPriority w:val="99"/>
    <w:unhideWhenUsed/>
    <w:pPr>
      <w:spacing w:after="120"/>
    </w:pPr>
  </w:style>
  <w:style w:type="character" w:customStyle="1" w:styleId="af9">
    <w:name w:val="Основной текст Знак"/>
    <w:basedOn w:val="a2"/>
    <w:link w:val="af8"/>
    <w:uiPriority w:val="99"/>
  </w:style>
  <w:style w:type="paragraph" w:styleId="25">
    <w:name w:val="Body Text 2"/>
    <w:basedOn w:val="a1"/>
    <w:link w:val="26"/>
    <w:uiPriority w:val="99"/>
    <w:unhideWhenUsed/>
    <w:pPr>
      <w:spacing w:after="120" w:line="480" w:lineRule="auto"/>
    </w:pPr>
  </w:style>
  <w:style w:type="character" w:customStyle="1" w:styleId="26">
    <w:name w:val="Основной текст 2 Знак"/>
    <w:basedOn w:val="a2"/>
    <w:link w:val="25"/>
    <w:uiPriority w:val="99"/>
  </w:style>
  <w:style w:type="paragraph" w:styleId="35">
    <w:name w:val="Body Text 3"/>
    <w:basedOn w:val="a1"/>
    <w:link w:val="36"/>
    <w:uiPriority w:val="99"/>
    <w:unhideWhenUsed/>
    <w:pPr>
      <w:spacing w:after="120"/>
    </w:pPr>
    <w:rPr>
      <w:sz w:val="16"/>
      <w:szCs w:val="16"/>
    </w:rPr>
  </w:style>
  <w:style w:type="character" w:customStyle="1" w:styleId="36">
    <w:name w:val="Основной текст 3 Знак"/>
    <w:basedOn w:val="a2"/>
    <w:link w:val="35"/>
    <w:uiPriority w:val="99"/>
    <w:rPr>
      <w:sz w:val="16"/>
      <w:szCs w:val="16"/>
    </w:rPr>
  </w:style>
  <w:style w:type="paragraph" w:styleId="afa">
    <w:name w:val="List"/>
    <w:basedOn w:val="a1"/>
    <w:uiPriority w:val="99"/>
    <w:unhideWhenUsed/>
    <w:pPr>
      <w:ind w:left="360" w:hanging="360"/>
      <w:contextualSpacing/>
    </w:pPr>
  </w:style>
  <w:style w:type="paragraph" w:styleId="27">
    <w:name w:val="List 2"/>
    <w:basedOn w:val="a1"/>
    <w:uiPriority w:val="99"/>
    <w:unhideWhenUsed/>
    <w:pPr>
      <w:ind w:left="720" w:hanging="360"/>
      <w:contextualSpacing/>
    </w:pPr>
  </w:style>
  <w:style w:type="paragraph" w:styleId="37">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0">
    <w:name w:val="List Bullet 2"/>
    <w:basedOn w:val="a1"/>
    <w:uiPriority w:val="99"/>
    <w:unhideWhenUsed/>
    <w:pPr>
      <w:numPr>
        <w:numId w:val="2"/>
      </w:numPr>
      <w:contextualSpacing/>
    </w:pPr>
  </w:style>
  <w:style w:type="paragraph" w:styleId="3">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
    <w:name w:val="List Number 2"/>
    <w:basedOn w:val="a1"/>
    <w:uiPriority w:val="99"/>
    <w:unhideWhenUsed/>
    <w:pPr>
      <w:numPr>
        <w:numId w:val="6"/>
      </w:numPr>
      <w:contextualSpacing/>
    </w:pPr>
  </w:style>
  <w:style w:type="paragraph" w:styleId="30">
    <w:name w:val="List Number 3"/>
    <w:basedOn w:val="a1"/>
    <w:uiPriority w:val="99"/>
    <w:unhideWhenUsed/>
    <w:pPr>
      <w:numPr>
        <w:numId w:val="7"/>
      </w:numPr>
      <w:contextualSpacing/>
    </w:pPr>
  </w:style>
  <w:style w:type="paragraph" w:styleId="afb">
    <w:name w:val="List Continue"/>
    <w:basedOn w:val="a1"/>
    <w:uiPriority w:val="99"/>
    <w:unhideWhenUsed/>
    <w:pPr>
      <w:spacing w:after="120"/>
      <w:ind w:left="360"/>
      <w:contextualSpacing/>
    </w:pPr>
  </w:style>
  <w:style w:type="paragraph" w:styleId="28">
    <w:name w:val="List Continue 2"/>
    <w:basedOn w:val="a1"/>
    <w:uiPriority w:val="99"/>
    <w:unhideWhenUsed/>
    <w:pPr>
      <w:spacing w:after="120"/>
      <w:ind w:left="720"/>
      <w:contextualSpacing/>
    </w:pPr>
  </w:style>
  <w:style w:type="paragraph" w:styleId="38">
    <w:name w:val="List Continue 3"/>
    <w:basedOn w:val="a1"/>
    <w:uiPriority w:val="99"/>
    <w:unhideWhenUsed/>
    <w:pPr>
      <w:spacing w:after="120"/>
      <w:ind w:left="1080"/>
      <w:contextualSpacing/>
    </w:pPr>
  </w:style>
  <w:style w:type="paragraph" w:styleId="afc">
    <w:name w:val="macro"/>
    <w:link w:val="afd"/>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d">
    <w:name w:val="Текст макроса Знак"/>
    <w:basedOn w:val="a2"/>
    <w:link w:val="afc"/>
    <w:uiPriority w:val="99"/>
    <w:rPr>
      <w:rFonts w:ascii="Courier" w:hAnsi="Courier"/>
      <w:sz w:val="20"/>
      <w:szCs w:val="20"/>
    </w:rPr>
  </w:style>
  <w:style w:type="paragraph" w:styleId="29">
    <w:name w:val="Quote"/>
    <w:basedOn w:val="a1"/>
    <w:next w:val="a1"/>
    <w:link w:val="2a"/>
    <w:uiPriority w:val="29"/>
    <w:qFormat/>
    <w:rPr>
      <w:i/>
      <w:iCs/>
      <w:color w:val="000000" w:themeColor="text1"/>
    </w:rPr>
  </w:style>
  <w:style w:type="character" w:customStyle="1" w:styleId="2a">
    <w:name w:val="Цитата 2 Знак"/>
    <w:basedOn w:val="a2"/>
    <w:link w:val="29"/>
    <w:uiPriority w:val="29"/>
    <w:rPr>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6">
    <w:name w:val="caption"/>
    <w:basedOn w:val="a1"/>
    <w:next w:val="a1"/>
    <w:link w:val="a5"/>
    <w:uiPriority w:val="35"/>
    <w:semiHidden/>
    <w:unhideWhenUsed/>
    <w:qFormat/>
    <w:pPr>
      <w:spacing w:line="240" w:lineRule="auto"/>
    </w:pPr>
    <w:rPr>
      <w:b/>
      <w:bCs/>
      <w:color w:val="4F81BD" w:themeColor="accent1"/>
      <w:sz w:val="18"/>
      <w:szCs w:val="18"/>
    </w:rPr>
  </w:style>
  <w:style w:type="character" w:styleId="afe">
    <w:name w:val="Strong"/>
    <w:basedOn w:val="a2"/>
    <w:uiPriority w:val="22"/>
    <w:qFormat/>
    <w:rPr>
      <w:b/>
      <w:bCs/>
    </w:rPr>
  </w:style>
  <w:style w:type="character" w:styleId="aff">
    <w:name w:val="Emphasis"/>
    <w:basedOn w:val="a2"/>
    <w:uiPriority w:val="20"/>
    <w:qFormat/>
    <w:rPr>
      <w:i/>
      <w:iCs/>
    </w:rPr>
  </w:style>
  <w:style w:type="paragraph" w:styleId="aff0">
    <w:name w:val="Intense Quote"/>
    <w:basedOn w:val="a1"/>
    <w:next w:val="a1"/>
    <w:link w:val="aff1"/>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1">
    <w:name w:val="Выделенная цитата Знак"/>
    <w:basedOn w:val="a2"/>
    <w:link w:val="aff0"/>
    <w:uiPriority w:val="30"/>
    <w:rPr>
      <w:b/>
      <w:bCs/>
      <w:i/>
      <w:iCs/>
      <w:color w:val="4F81BD" w:themeColor="accent1"/>
    </w:rPr>
  </w:style>
  <w:style w:type="character" w:styleId="aff2">
    <w:name w:val="Subtle Emphasis"/>
    <w:basedOn w:val="a2"/>
    <w:uiPriority w:val="19"/>
    <w:qFormat/>
    <w:rPr>
      <w:i/>
      <w:iCs/>
      <w:color w:val="808080" w:themeColor="text1" w:themeTint="7F"/>
    </w:rPr>
  </w:style>
  <w:style w:type="character" w:styleId="aff3">
    <w:name w:val="Intense Emphasis"/>
    <w:basedOn w:val="a2"/>
    <w:uiPriority w:val="21"/>
    <w:qFormat/>
    <w:rPr>
      <w:b/>
      <w:bCs/>
      <w:i/>
      <w:iCs/>
      <w:color w:val="4F81BD" w:themeColor="accent1"/>
    </w:rPr>
  </w:style>
  <w:style w:type="character" w:styleId="aff4">
    <w:name w:val="Subtle Reference"/>
    <w:basedOn w:val="a2"/>
    <w:uiPriority w:val="31"/>
    <w:qFormat/>
    <w:rPr>
      <w:smallCaps/>
      <w:color w:val="C0504D" w:themeColor="accent2"/>
      <w:u w:val="single"/>
    </w:rPr>
  </w:style>
  <w:style w:type="character" w:styleId="aff5">
    <w:name w:val="Intense Reference"/>
    <w:basedOn w:val="a2"/>
    <w:uiPriority w:val="32"/>
    <w:qFormat/>
    <w:rPr>
      <w:b/>
      <w:bCs/>
      <w:smallCaps/>
      <w:color w:val="C0504D" w:themeColor="accent2"/>
      <w:spacing w:val="5"/>
      <w:u w:val="single"/>
    </w:rPr>
  </w:style>
  <w:style w:type="character" w:styleId="aff6">
    <w:name w:val="Book Title"/>
    <w:basedOn w:val="a2"/>
    <w:uiPriority w:val="33"/>
    <w:qFormat/>
    <w:rPr>
      <w:b/>
      <w:bCs/>
      <w:smallCaps/>
      <w:spacing w:val="5"/>
    </w:rPr>
  </w:style>
  <w:style w:type="paragraph" w:styleId="aff7">
    <w:name w:val="TOC Heading"/>
    <w:basedOn w:val="1"/>
    <w:next w:val="a1"/>
    <w:uiPriority w:val="39"/>
    <w:semiHidden/>
    <w:unhideWhenUsed/>
    <w:qFormat/>
    <w:pPr>
      <w:outlineLvl w:val="9"/>
    </w:pPr>
  </w:style>
  <w:style w:type="table" w:styleId="aff8">
    <w:name w:val="Table Grid"/>
    <w:basedOn w:val="a3"/>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9">
    <w:name w:val="Light Shading"/>
    <w:basedOn w:val="a3"/>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styleId="-11">
    <w:name w:val="Light Shading Accent 1"/>
    <w:basedOn w:val="a3"/>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one" w:sz="4" w:space="0" w:color="000000"/>
          <w:bottom w:val="single" w:sz="8" w:space="0" w:color="4F81BD" w:themeColor="accent1"/>
          <w:right w:val="none" w:sz="4" w:space="0" w:color="000000"/>
        </w:tcBorders>
      </w:tcPr>
    </w:tblStylePr>
    <w:tblStylePr w:type="lastRow">
      <w:pPr>
        <w:spacing w:before="0" w:after="0" w:line="240" w:lineRule="auto"/>
      </w:pPr>
      <w:rPr>
        <w:b/>
        <w:bCs/>
      </w:rPr>
      <w:tblPr/>
      <w:tcPr>
        <w:tcBorders>
          <w:top w:val="single" w:sz="8" w:space="0" w:color="4F81BD" w:themeColor="accent1"/>
          <w:left w:val="none" w:sz="4" w:space="0" w:color="000000"/>
          <w:bottom w:val="single" w:sz="8" w:space="0" w:color="4F81BD"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3DFEE" w:themeFill="accent1" w:themeFillTint="3F"/>
      </w:tcPr>
    </w:tblStylePr>
    <w:tblStylePr w:type="band1Horz">
      <w:tblPr/>
      <w:tcPr>
        <w:tcBorders>
          <w:left w:val="none" w:sz="4" w:space="0" w:color="000000"/>
          <w:right w:val="none" w:sz="4" w:space="0" w:color="000000"/>
        </w:tcBorders>
        <w:shd w:val="clear" w:color="auto" w:fill="D3DFEE" w:themeFill="accent1" w:themeFillTint="3F"/>
      </w:tcPr>
    </w:tblStylePr>
  </w:style>
  <w:style w:type="table" w:styleId="-21">
    <w:name w:val="Light Shading Accent 2"/>
    <w:basedOn w:val="a3"/>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one" w:sz="4" w:space="0" w:color="000000"/>
          <w:bottom w:val="single" w:sz="8" w:space="0" w:color="C0504D" w:themeColor="accent2"/>
          <w:right w:val="none" w:sz="4" w:space="0" w:color="000000"/>
        </w:tcBorders>
      </w:tcPr>
    </w:tblStylePr>
    <w:tblStylePr w:type="lastRow">
      <w:pPr>
        <w:spacing w:before="0" w:after="0" w:line="240" w:lineRule="auto"/>
      </w:pPr>
      <w:rPr>
        <w:b/>
        <w:bCs/>
      </w:rPr>
      <w:tblPr/>
      <w:tcPr>
        <w:tcBorders>
          <w:top w:val="single" w:sz="8" w:space="0" w:color="C0504D" w:themeColor="accent2"/>
          <w:left w:val="none" w:sz="4" w:space="0" w:color="000000"/>
          <w:bottom w:val="single" w:sz="8" w:space="0" w:color="C0504D" w:themeColor="accent2"/>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FD3D2" w:themeFill="accent2" w:themeFillTint="3F"/>
      </w:tcPr>
    </w:tblStylePr>
    <w:tblStylePr w:type="band1Horz">
      <w:tblPr/>
      <w:tcPr>
        <w:tcBorders>
          <w:left w:val="none" w:sz="4" w:space="0" w:color="000000"/>
          <w:right w:val="none" w:sz="4" w:space="0" w:color="000000"/>
        </w:tcBorders>
        <w:shd w:val="clear" w:color="auto" w:fill="EFD3D2" w:themeFill="accent2" w:themeFillTint="3F"/>
      </w:tcPr>
    </w:tblStylePr>
  </w:style>
  <w:style w:type="table" w:styleId="-31">
    <w:name w:val="Light Shading Accent 3"/>
    <w:basedOn w:val="a3"/>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one" w:sz="4" w:space="0" w:color="000000"/>
          <w:bottom w:val="single" w:sz="8" w:space="0" w:color="9BBB59" w:themeColor="accent3"/>
          <w:right w:val="none" w:sz="4" w:space="0" w:color="000000"/>
        </w:tcBorders>
      </w:tcPr>
    </w:tblStylePr>
    <w:tblStylePr w:type="lastRow">
      <w:pPr>
        <w:spacing w:before="0" w:after="0" w:line="240" w:lineRule="auto"/>
      </w:pPr>
      <w:rPr>
        <w:b/>
        <w:bCs/>
      </w:rPr>
      <w:tblPr/>
      <w:tcPr>
        <w:tcBorders>
          <w:top w:val="single" w:sz="8" w:space="0" w:color="9BBB59" w:themeColor="accent3"/>
          <w:left w:val="none" w:sz="4" w:space="0" w:color="000000"/>
          <w:bottom w:val="single" w:sz="8" w:space="0" w:color="9BBB59" w:themeColor="accent3"/>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hemeFill="accent3" w:themeFillTint="3F"/>
      </w:tcPr>
    </w:tblStylePr>
    <w:tblStylePr w:type="band1Horz">
      <w:tblPr/>
      <w:tcPr>
        <w:tcBorders>
          <w:left w:val="none" w:sz="4" w:space="0" w:color="000000"/>
          <w:right w:val="none" w:sz="4" w:space="0" w:color="000000"/>
        </w:tcBorders>
        <w:shd w:val="clear" w:color="auto" w:fill="E6EED5" w:themeFill="accent3" w:themeFillTint="3F"/>
      </w:tcPr>
    </w:tblStylePr>
  </w:style>
  <w:style w:type="table" w:styleId="-41">
    <w:name w:val="Light Shading Accent 4"/>
    <w:basedOn w:val="a3"/>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one" w:sz="4" w:space="0" w:color="000000"/>
          <w:bottom w:val="single" w:sz="8" w:space="0" w:color="8064A2" w:themeColor="accent4"/>
          <w:right w:val="none" w:sz="4" w:space="0" w:color="000000"/>
        </w:tcBorders>
      </w:tcPr>
    </w:tblStylePr>
    <w:tblStylePr w:type="lastRow">
      <w:pPr>
        <w:spacing w:before="0" w:after="0" w:line="240" w:lineRule="auto"/>
      </w:pPr>
      <w:rPr>
        <w:b/>
        <w:bCs/>
      </w:rPr>
      <w:tblPr/>
      <w:tcPr>
        <w:tcBorders>
          <w:top w:val="single" w:sz="8" w:space="0" w:color="8064A2" w:themeColor="accent4"/>
          <w:left w:val="none" w:sz="4" w:space="0" w:color="000000"/>
          <w:bottom w:val="single" w:sz="8" w:space="0" w:color="8064A2" w:themeColor="accent4"/>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FD8E8" w:themeFill="accent4" w:themeFillTint="3F"/>
      </w:tcPr>
    </w:tblStylePr>
    <w:tblStylePr w:type="band1Horz">
      <w:tblPr/>
      <w:tcPr>
        <w:tcBorders>
          <w:left w:val="none" w:sz="4" w:space="0" w:color="000000"/>
          <w:right w:val="none" w:sz="4" w:space="0" w:color="000000"/>
        </w:tcBorders>
        <w:shd w:val="clear" w:color="auto" w:fill="DFD8E8" w:themeFill="accent4" w:themeFillTint="3F"/>
      </w:tcPr>
    </w:tblStylePr>
  </w:style>
  <w:style w:type="table" w:styleId="-51">
    <w:name w:val="Light Shading Accent 5"/>
    <w:basedOn w:val="a3"/>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one" w:sz="4" w:space="0" w:color="000000"/>
          <w:bottom w:val="single" w:sz="8" w:space="0" w:color="4BACC6" w:themeColor="accent5"/>
          <w:right w:val="none" w:sz="4" w:space="0" w:color="000000"/>
        </w:tcBorders>
      </w:tcPr>
    </w:tblStylePr>
    <w:tblStylePr w:type="lastRow">
      <w:pPr>
        <w:spacing w:before="0" w:after="0" w:line="240" w:lineRule="auto"/>
      </w:pPr>
      <w:rPr>
        <w:b/>
        <w:bCs/>
      </w:rPr>
      <w:tblPr/>
      <w:tcPr>
        <w:tcBorders>
          <w:top w:val="single" w:sz="8" w:space="0" w:color="4BACC6" w:themeColor="accent5"/>
          <w:left w:val="none" w:sz="4" w:space="0" w:color="000000"/>
          <w:bottom w:val="single" w:sz="8" w:space="0" w:color="4BACC6" w:themeColor="accent5"/>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2EAF1" w:themeFill="accent5" w:themeFillTint="3F"/>
      </w:tcPr>
    </w:tblStylePr>
    <w:tblStylePr w:type="band1Horz">
      <w:tblPr/>
      <w:tcPr>
        <w:tcBorders>
          <w:left w:val="none" w:sz="4" w:space="0" w:color="000000"/>
          <w:right w:val="none" w:sz="4" w:space="0" w:color="000000"/>
        </w:tcBorders>
        <w:shd w:val="clear" w:color="auto" w:fill="D2EAF1" w:themeFill="accent5" w:themeFillTint="3F"/>
      </w:tcPr>
    </w:tblStylePr>
  </w:style>
  <w:style w:type="table" w:styleId="-61">
    <w:name w:val="Light Shading Accent 6"/>
    <w:basedOn w:val="a3"/>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one" w:sz="4" w:space="0" w:color="000000"/>
          <w:bottom w:val="single" w:sz="8" w:space="0" w:color="F79646" w:themeColor="accent6"/>
          <w:right w:val="none" w:sz="4" w:space="0" w:color="000000"/>
        </w:tcBorders>
      </w:tcPr>
    </w:tblStylePr>
    <w:tblStylePr w:type="lastRow">
      <w:pPr>
        <w:spacing w:before="0" w:after="0" w:line="240" w:lineRule="auto"/>
      </w:pPr>
      <w:rPr>
        <w:b/>
        <w:bCs/>
      </w:rPr>
      <w:tblPr/>
      <w:tcPr>
        <w:tcBorders>
          <w:top w:val="single" w:sz="8" w:space="0" w:color="F79646" w:themeColor="accent6"/>
          <w:left w:val="none" w:sz="4" w:space="0" w:color="000000"/>
          <w:bottom w:val="single" w:sz="8" w:space="0" w:color="F79646" w:themeColor="accent6"/>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DE4D0" w:themeFill="accent6" w:themeFillTint="3F"/>
      </w:tcPr>
    </w:tblStylePr>
    <w:tblStylePr w:type="band1Horz">
      <w:tblPr/>
      <w:tcPr>
        <w:tcBorders>
          <w:left w:val="none" w:sz="4" w:space="0" w:color="000000"/>
          <w:right w:val="none" w:sz="4" w:space="0" w:color="000000"/>
        </w:tcBorders>
        <w:shd w:val="clear" w:color="auto" w:fill="FDE4D0" w:themeFill="accent6" w:themeFillTint="3F"/>
      </w:tcPr>
    </w:tblStylePr>
  </w:style>
  <w:style w:type="table" w:styleId="affa">
    <w:name w:val="Light List"/>
    <w:basedOn w:val="a3"/>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2">
    <w:name w:val="Light List Accent 2"/>
    <w:basedOn w:val="a3"/>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sing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2">
    <w:name w:val="Light List Accent 3"/>
    <w:basedOn w:val="a3"/>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sing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sing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sing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sing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b">
    <w:name w:val="Light Grid"/>
    <w:basedOn w:val="a3"/>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3">
    <w:name w:val="Light Grid Accent 1"/>
    <w:basedOn w:val="a3"/>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Grid Accent 2"/>
    <w:basedOn w:val="a3"/>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3">
    <w:name w:val="Light Grid Accent 3"/>
    <w:basedOn w:val="a3"/>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Grid Accent 4"/>
    <w:basedOn w:val="a3"/>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3">
    <w:name w:val="Light Grid Accent 5"/>
    <w:basedOn w:val="a3"/>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3">
    <w:name w:val="Light Grid Accent 6"/>
    <w:basedOn w:val="a3"/>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3">
    <w:name w:val="Medium Shading 1"/>
    <w:basedOn w:val="a3"/>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000000" w:themeFill="text1"/>
      </w:tcPr>
    </w:tblStylePr>
    <w:tblStylePr w:type="lastRow">
      <w:pPr>
        <w:spacing w:before="0" w:after="0" w:line="240" w:lineRule="auto"/>
      </w:pPr>
      <w:rPr>
        <w:b/>
        <w:bCs/>
      </w:rPr>
      <w:tblPr/>
      <w:tcPr>
        <w:tcBorders>
          <w:top w:val="sing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
    <w:name w:val="Medium Shading 1 Accent 1"/>
    <w:basedOn w:val="a3"/>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tblStylePr>
    <w:tblStylePr w:type="lastRow">
      <w:pPr>
        <w:spacing w:before="0" w:after="0" w:line="240" w:lineRule="auto"/>
      </w:pPr>
      <w:rPr>
        <w:b/>
        <w:bCs/>
      </w:rPr>
      <w:tblPr/>
      <w:tcPr>
        <w:tcBorders>
          <w:top w:val="sing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
    <w:name w:val="Medium Shading 1 Accent 2"/>
    <w:basedOn w:val="a3"/>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shd w:val="clear" w:color="auto" w:fill="C0504D" w:themeFill="accent2"/>
      </w:tcPr>
    </w:tblStylePr>
    <w:tblStylePr w:type="lastRow">
      <w:pPr>
        <w:spacing w:before="0" w:after="0" w:line="240" w:lineRule="auto"/>
      </w:pPr>
      <w:rPr>
        <w:b/>
        <w:bCs/>
      </w:rPr>
      <w:tblPr/>
      <w:tcPr>
        <w:tcBorders>
          <w:top w:val="sing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
    <w:name w:val="Medium Shading 1 Accent 3"/>
    <w:basedOn w:val="a3"/>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shd w:val="clear" w:color="auto" w:fill="9BBB59" w:themeFill="accent3"/>
      </w:tcPr>
    </w:tblStylePr>
    <w:tblStylePr w:type="lastRow">
      <w:pPr>
        <w:spacing w:before="0" w:after="0" w:line="240" w:lineRule="auto"/>
      </w:pPr>
      <w:rPr>
        <w:b/>
        <w:bCs/>
      </w:rPr>
      <w:tblPr/>
      <w:tcPr>
        <w:tcBorders>
          <w:top w:val="sing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
    <w:name w:val="Medium Shading 1 Accent 4"/>
    <w:basedOn w:val="a3"/>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shd w:val="clear" w:color="auto" w:fill="8064A2" w:themeFill="accent4"/>
      </w:tcPr>
    </w:tblStylePr>
    <w:tblStylePr w:type="lastRow">
      <w:pPr>
        <w:spacing w:before="0" w:after="0" w:line="240" w:lineRule="auto"/>
      </w:pPr>
      <w:rPr>
        <w:b/>
        <w:bCs/>
      </w:rPr>
      <w:tblPr/>
      <w:tcPr>
        <w:tcBorders>
          <w:top w:val="sing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
    <w:name w:val="Medium Shading 1 Accent 5"/>
    <w:basedOn w:val="a3"/>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shd w:val="clear" w:color="auto" w:fill="4BACC6" w:themeFill="accent5"/>
      </w:tcPr>
    </w:tblStylePr>
    <w:tblStylePr w:type="lastRow">
      <w:pPr>
        <w:spacing w:before="0" w:after="0" w:line="240" w:lineRule="auto"/>
      </w:pPr>
      <w:rPr>
        <w:b/>
        <w:bCs/>
      </w:rPr>
      <w:tblPr/>
      <w:tcPr>
        <w:tcBorders>
          <w:top w:val="sing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
    <w:name w:val="Medium Shading 1 Accent 6"/>
    <w:basedOn w:val="a3"/>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F79646" w:themeFill="accent6"/>
      </w:tcPr>
    </w:tblStylePr>
    <w:tblStylePr w:type="lastRow">
      <w:pPr>
        <w:spacing w:before="0" w:after="0" w:line="240" w:lineRule="auto"/>
      </w:pPr>
      <w:rPr>
        <w:b/>
        <w:bCs/>
      </w:rPr>
      <w:tblPr/>
      <w:tcPr>
        <w:tcBorders>
          <w:top w:val="sing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Shading 2"/>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000000" w:themeFill="text1"/>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000000" w:themeFill="text1"/>
      </w:tcPr>
    </w:tblStylePr>
    <w:tblStylePr w:type="lastCol">
      <w:rPr>
        <w:b/>
        <w:bCs/>
        <w:color w:val="FFFFFF" w:themeColor="background1"/>
      </w:rPr>
      <w:tblPr/>
      <w:tcPr>
        <w:tcBorders>
          <w:left w:val="none" w:sz="4" w:space="0" w:color="000000"/>
          <w:right w:val="none" w:sz="4" w:space="0" w:color="000000"/>
        </w:tcBorders>
        <w:shd w:val="clear" w:color="auto" w:fill="000000" w:themeFill="tex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1">
    <w:name w:val="Medium Shading 2 Accent 1"/>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4F81BD" w:themeFill="accent1"/>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4F81BD" w:themeFill="accent1"/>
      </w:tcPr>
    </w:tblStylePr>
    <w:tblStylePr w:type="lastCol">
      <w:rPr>
        <w:b/>
        <w:bCs/>
        <w:color w:val="FFFFFF" w:themeColor="background1"/>
      </w:rPr>
      <w:tblPr/>
      <w:tcPr>
        <w:tcBorders>
          <w:left w:val="none" w:sz="4" w:space="0" w:color="000000"/>
          <w:right w:val="none" w:sz="4" w:space="0" w:color="000000"/>
        </w:tcBorders>
        <w:shd w:val="clear" w:color="auto" w:fill="4F81BD" w:themeFill="accen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2">
    <w:name w:val="Medium Shading 2 Accent 2"/>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C0504D" w:themeFill="accent2"/>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C0504D" w:themeFill="accent2"/>
      </w:tcPr>
    </w:tblStylePr>
    <w:tblStylePr w:type="lastCol">
      <w:rPr>
        <w:b/>
        <w:bCs/>
        <w:color w:val="FFFFFF" w:themeColor="background1"/>
      </w:rPr>
      <w:tblPr/>
      <w:tcPr>
        <w:tcBorders>
          <w:left w:val="none" w:sz="4" w:space="0" w:color="000000"/>
          <w:right w:val="none" w:sz="4" w:space="0" w:color="000000"/>
        </w:tcBorders>
        <w:shd w:val="clear" w:color="auto" w:fill="C0504D" w:themeFill="accent2"/>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3">
    <w:name w:val="Medium Shading 2 Accent 3"/>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9BBB59" w:themeFill="accent3"/>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9BBB59" w:themeFill="accent3"/>
      </w:tcPr>
    </w:tblStylePr>
    <w:tblStylePr w:type="lastCol">
      <w:rPr>
        <w:b/>
        <w:bCs/>
        <w:color w:val="FFFFFF" w:themeColor="background1"/>
      </w:rPr>
      <w:tblPr/>
      <w:tcPr>
        <w:tcBorders>
          <w:left w:val="none" w:sz="4" w:space="0" w:color="000000"/>
          <w:right w:val="none" w:sz="4" w:space="0" w:color="000000"/>
        </w:tcBorders>
        <w:shd w:val="clear" w:color="auto" w:fill="9BBB59" w:themeFill="accent3"/>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4">
    <w:name w:val="Medium Shading 2 Accent 4"/>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8064A2" w:themeFill="accent4"/>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8064A2" w:themeFill="accent4"/>
      </w:tcPr>
    </w:tblStylePr>
    <w:tblStylePr w:type="lastCol">
      <w:rPr>
        <w:b/>
        <w:bCs/>
        <w:color w:val="FFFFFF" w:themeColor="background1"/>
      </w:rPr>
      <w:tblPr/>
      <w:tcPr>
        <w:tcBorders>
          <w:left w:val="none" w:sz="4" w:space="0" w:color="000000"/>
          <w:right w:val="none" w:sz="4" w:space="0" w:color="000000"/>
        </w:tcBorders>
        <w:shd w:val="clear" w:color="auto" w:fill="8064A2" w:themeFill="accent4"/>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5">
    <w:name w:val="Medium Shading 2 Accent 5"/>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4BACC6" w:themeFill="accent5"/>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4BACC6" w:themeFill="accent5"/>
      </w:tcPr>
    </w:tblStylePr>
    <w:tblStylePr w:type="lastCol">
      <w:rPr>
        <w:b/>
        <w:bCs/>
        <w:color w:val="FFFFFF" w:themeColor="background1"/>
      </w:rPr>
      <w:tblPr/>
      <w:tcPr>
        <w:tcBorders>
          <w:left w:val="none" w:sz="4" w:space="0" w:color="000000"/>
          <w:right w:val="none" w:sz="4" w:space="0" w:color="000000"/>
        </w:tcBorders>
        <w:shd w:val="clear" w:color="auto" w:fill="4BACC6" w:themeFill="accent5"/>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6">
    <w:name w:val="Medium Shading 2 Accent 6"/>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F79646" w:themeFill="accent6"/>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F79646" w:themeFill="accent6"/>
      </w:tcPr>
    </w:tblStylePr>
    <w:tblStylePr w:type="lastCol">
      <w:rPr>
        <w:b/>
        <w:bCs/>
        <w:color w:val="FFFFFF" w:themeColor="background1"/>
      </w:rPr>
      <w:tblPr/>
      <w:tcPr>
        <w:tcBorders>
          <w:left w:val="none" w:sz="4" w:space="0" w:color="000000"/>
          <w:right w:val="none" w:sz="4" w:space="0" w:color="000000"/>
        </w:tcBorders>
        <w:shd w:val="clear" w:color="auto" w:fill="F79646" w:themeFill="accent6"/>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14">
    <w:name w:val="Medium List 1"/>
    <w:basedOn w:val="a3"/>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one" w:sz="4" w:space="0" w:color="000000"/>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one" w:sz="4" w:space="0" w:color="000000"/>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one" w:sz="4" w:space="0" w:color="000000"/>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one" w:sz="4" w:space="0" w:color="000000"/>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one" w:sz="4" w:space="0" w:color="000000"/>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one" w:sz="4" w:space="0" w:color="000000"/>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one" w:sz="4" w:space="0" w:color="000000"/>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c">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one" w:sz="4" w:space="0" w:color="000000"/>
          <w:left w:val="none" w:sz="4" w:space="0" w:color="000000"/>
          <w:bottom w:val="single" w:sz="24" w:space="0" w:color="000000" w:themeColor="text1"/>
          <w:right w:val="none" w:sz="4" w:space="0" w:color="000000"/>
        </w:tcBorders>
        <w:shd w:val="clear" w:color="auto" w:fill="FFFFFF" w:themeFill="background1"/>
      </w:tcPr>
    </w:tblStylePr>
    <w:tblStylePr w:type="lastRow">
      <w:tblPr/>
      <w:tcPr>
        <w:tcBorders>
          <w:top w:val="single" w:sz="8"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000000" w:themeColor="text1"/>
        </w:tcBorders>
        <w:shd w:val="clear" w:color="auto" w:fill="FFFFFF" w:themeFill="background1"/>
      </w:tcPr>
    </w:tblStylePr>
    <w:tblStylePr w:type="lastCol">
      <w:tblPr/>
      <w:tcPr>
        <w:tcBorders>
          <w:top w:val="none" w:sz="4" w:space="0" w:color="000000"/>
          <w:left w:val="single" w:sz="8" w:space="0" w:color="000000" w:themeColor="tex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top w:val="none" w:sz="4" w:space="0" w:color="000000"/>
          <w:bottom w:val="none" w:sz="4" w:space="0" w:color="000000"/>
        </w:tcBorders>
        <w:shd w:val="clear" w:color="auto" w:fill="C0C0C0" w:themeFill="tex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10">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one" w:sz="4" w:space="0" w:color="000000"/>
          <w:left w:val="none" w:sz="4" w:space="0" w:color="000000"/>
          <w:bottom w:val="single" w:sz="24" w:space="0" w:color="4F81BD" w:themeColor="accent1"/>
          <w:right w:val="none" w:sz="4" w:space="0" w:color="000000"/>
        </w:tcBorders>
        <w:shd w:val="clear" w:color="auto" w:fill="FFFFFF" w:themeFill="background1"/>
      </w:tcPr>
    </w:tblStylePr>
    <w:tblStylePr w:type="lastRow">
      <w:tblPr/>
      <w:tcPr>
        <w:tcBorders>
          <w:top w:val="single" w:sz="8" w:space="0" w:color="4F81BD" w:themeColor="accen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F81BD" w:themeColor="accent1"/>
        </w:tcBorders>
        <w:shd w:val="clear" w:color="auto" w:fill="FFFFFF" w:themeFill="background1"/>
      </w:tcPr>
    </w:tblStylePr>
    <w:tblStylePr w:type="lastCol">
      <w:tblPr/>
      <w:tcPr>
        <w:tcBorders>
          <w:top w:val="none" w:sz="4" w:space="0" w:color="000000"/>
          <w:left w:val="single" w:sz="8" w:space="0" w:color="4F81BD" w:themeColor="accen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3DFEE" w:themeFill="accent1" w:themeFillTint="3F"/>
      </w:tcPr>
    </w:tblStylePr>
    <w:tblStylePr w:type="band1Horz">
      <w:tblPr/>
      <w:tcPr>
        <w:tcBorders>
          <w:top w:val="none" w:sz="4" w:space="0" w:color="000000"/>
          <w:bottom w:val="none" w:sz="4" w:space="0" w:color="000000"/>
        </w:tcBorders>
        <w:shd w:val="clear" w:color="auto" w:fill="D3DFEE" w:themeFill="accen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20">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tblPr/>
      <w:tcPr>
        <w:tcBorders>
          <w:top w:val="single" w:sz="8" w:space="0" w:color="C0504D" w:themeColor="accent2"/>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C0504D" w:themeColor="accent2"/>
        </w:tcBorders>
        <w:shd w:val="clear" w:color="auto" w:fill="FFFFFF" w:themeFill="background1"/>
      </w:tcPr>
    </w:tblStylePr>
    <w:tblStylePr w:type="lastCol">
      <w:tblPr/>
      <w:tcPr>
        <w:tcBorders>
          <w:top w:val="none" w:sz="4" w:space="0" w:color="000000"/>
          <w:left w:val="single" w:sz="8" w:space="0" w:color="C0504D" w:themeColor="accent2"/>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EFD3D2" w:themeFill="accent2" w:themeFillTint="3F"/>
      </w:tcPr>
    </w:tblStylePr>
    <w:tblStylePr w:type="band1Horz">
      <w:tblPr/>
      <w:tcPr>
        <w:tcBorders>
          <w:top w:val="none" w:sz="4" w:space="0" w:color="000000"/>
          <w:bottom w:val="none" w:sz="4" w:space="0" w:color="000000"/>
        </w:tcBorders>
        <w:shd w:val="clear" w:color="auto" w:fill="EFD3D2" w:themeFill="accent2"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30">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one" w:sz="4" w:space="0" w:color="000000"/>
          <w:left w:val="none" w:sz="4" w:space="0" w:color="000000"/>
          <w:bottom w:val="single" w:sz="24" w:space="0" w:color="9BBB59" w:themeColor="accent3"/>
          <w:right w:val="none" w:sz="4" w:space="0" w:color="000000"/>
        </w:tcBorders>
        <w:shd w:val="clear" w:color="auto" w:fill="FFFFFF" w:themeFill="background1"/>
      </w:tcPr>
    </w:tblStylePr>
    <w:tblStylePr w:type="lastRow">
      <w:tblPr/>
      <w:tcPr>
        <w:tcBorders>
          <w:top w:val="single" w:sz="8" w:space="0" w:color="9BBB59" w:themeColor="accent3"/>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9BBB59" w:themeColor="accent3"/>
        </w:tcBorders>
        <w:shd w:val="clear" w:color="auto" w:fill="FFFFFF" w:themeFill="background1"/>
      </w:tcPr>
    </w:tblStylePr>
    <w:tblStylePr w:type="lastCol">
      <w:tblPr/>
      <w:tcPr>
        <w:tcBorders>
          <w:top w:val="none" w:sz="4" w:space="0" w:color="000000"/>
          <w:left w:val="single" w:sz="8" w:space="0" w:color="9BBB59" w:themeColor="accent3"/>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E6EED5" w:themeFill="accent3" w:themeFillTint="3F"/>
      </w:tcPr>
    </w:tblStylePr>
    <w:tblStylePr w:type="band1Horz">
      <w:tblPr/>
      <w:tcPr>
        <w:tcBorders>
          <w:top w:val="none" w:sz="4" w:space="0" w:color="000000"/>
          <w:bottom w:val="none" w:sz="4" w:space="0" w:color="000000"/>
        </w:tcBorders>
        <w:shd w:val="clear" w:color="auto" w:fill="E6EED5" w:themeFill="accent3"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40">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one" w:sz="4" w:space="0" w:color="000000"/>
          <w:left w:val="none" w:sz="4" w:space="0" w:color="000000"/>
          <w:bottom w:val="single" w:sz="24" w:space="0" w:color="8064A2" w:themeColor="accent4"/>
          <w:right w:val="none" w:sz="4" w:space="0" w:color="000000"/>
        </w:tcBorders>
        <w:shd w:val="clear" w:color="auto" w:fill="FFFFFF" w:themeFill="background1"/>
      </w:tcPr>
    </w:tblStylePr>
    <w:tblStylePr w:type="lastRow">
      <w:tblPr/>
      <w:tcPr>
        <w:tcBorders>
          <w:top w:val="single" w:sz="8" w:space="0" w:color="8064A2" w:themeColor="accent4"/>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8064A2" w:themeColor="accent4"/>
        </w:tcBorders>
        <w:shd w:val="clear" w:color="auto" w:fill="FFFFFF" w:themeFill="background1"/>
      </w:tcPr>
    </w:tblStylePr>
    <w:tblStylePr w:type="lastCol">
      <w:tblPr/>
      <w:tcPr>
        <w:tcBorders>
          <w:top w:val="none" w:sz="4" w:space="0" w:color="000000"/>
          <w:left w:val="single" w:sz="8" w:space="0" w:color="8064A2" w:themeColor="accent4"/>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FD8E8" w:themeFill="accent4" w:themeFillTint="3F"/>
      </w:tcPr>
    </w:tblStylePr>
    <w:tblStylePr w:type="band1Horz">
      <w:tblPr/>
      <w:tcPr>
        <w:tcBorders>
          <w:top w:val="none" w:sz="4" w:space="0" w:color="000000"/>
          <w:bottom w:val="none" w:sz="4" w:space="0" w:color="000000"/>
        </w:tcBorders>
        <w:shd w:val="clear" w:color="auto" w:fill="DFD8E8" w:themeFill="accent4"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50">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one" w:sz="4" w:space="0" w:color="000000"/>
          <w:left w:val="none" w:sz="4" w:space="0" w:color="000000"/>
          <w:bottom w:val="single" w:sz="24" w:space="0" w:color="4BACC6" w:themeColor="accent5"/>
          <w:right w:val="none" w:sz="4" w:space="0" w:color="000000"/>
        </w:tcBorders>
        <w:shd w:val="clear" w:color="auto" w:fill="FFFFFF" w:themeFill="background1"/>
      </w:tcPr>
    </w:tblStylePr>
    <w:tblStylePr w:type="lastRow">
      <w:tblPr/>
      <w:tcPr>
        <w:tcBorders>
          <w:top w:val="single" w:sz="8" w:space="0" w:color="4BACC6" w:themeColor="accent5"/>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BACC6" w:themeColor="accent5"/>
        </w:tcBorders>
        <w:shd w:val="clear" w:color="auto" w:fill="FFFFFF" w:themeFill="background1"/>
      </w:tcPr>
    </w:tblStylePr>
    <w:tblStylePr w:type="lastCol">
      <w:tblPr/>
      <w:tcPr>
        <w:tcBorders>
          <w:top w:val="none" w:sz="4" w:space="0" w:color="000000"/>
          <w:left w:val="single" w:sz="8" w:space="0" w:color="4BACC6" w:themeColor="accent5"/>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2EAF1" w:themeFill="accent5" w:themeFillTint="3F"/>
      </w:tcPr>
    </w:tblStylePr>
    <w:tblStylePr w:type="band1Horz">
      <w:tblPr/>
      <w:tcPr>
        <w:tcBorders>
          <w:top w:val="none" w:sz="4" w:space="0" w:color="000000"/>
          <w:bottom w:val="none" w:sz="4" w:space="0" w:color="000000"/>
        </w:tcBorders>
        <w:shd w:val="clear" w:color="auto" w:fill="D2EAF1" w:themeFill="accent5"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60">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one" w:sz="4" w:space="0" w:color="000000"/>
          <w:left w:val="none" w:sz="4" w:space="0" w:color="000000"/>
          <w:bottom w:val="single" w:sz="24" w:space="0" w:color="F79646" w:themeColor="accent6"/>
          <w:right w:val="none" w:sz="4" w:space="0" w:color="000000"/>
        </w:tcBorders>
        <w:shd w:val="clear" w:color="auto" w:fill="FFFFFF" w:themeFill="background1"/>
      </w:tcPr>
    </w:tblStylePr>
    <w:tblStylePr w:type="lastRow">
      <w:tblPr/>
      <w:tcPr>
        <w:tcBorders>
          <w:top w:val="single" w:sz="8" w:space="0" w:color="F79646" w:themeColor="accent6"/>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F79646" w:themeColor="accent6"/>
        </w:tcBorders>
        <w:shd w:val="clear" w:color="auto" w:fill="FFFFFF" w:themeFill="background1"/>
      </w:tcPr>
    </w:tblStylePr>
    <w:tblStylePr w:type="lastCol">
      <w:tblPr/>
      <w:tcPr>
        <w:tcBorders>
          <w:top w:val="none" w:sz="4" w:space="0" w:color="000000"/>
          <w:left w:val="single" w:sz="8" w:space="0" w:color="F79646" w:themeColor="accent6"/>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FDE4D0" w:themeFill="accent6" w:themeFillTint="3F"/>
      </w:tcPr>
    </w:tblStylePr>
    <w:tblStylePr w:type="band1Horz">
      <w:tblPr/>
      <w:tcPr>
        <w:tcBorders>
          <w:top w:val="none" w:sz="4" w:space="0" w:color="000000"/>
          <w:bottom w:val="none" w:sz="4" w:space="0" w:color="000000"/>
        </w:tcBorders>
        <w:shd w:val="clear" w:color="auto" w:fill="FDE4D0" w:themeFill="accent6"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15">
    <w:name w:val="Medium Grid 1"/>
    <w:basedOn w:val="a3"/>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d">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CCCCCC" w:themeFill="text1" w:themeFillTint="33"/>
      </w:tcPr>
    </w:tblStylePr>
    <w:tblStylePr w:type="band1Vert">
      <w:tblPr/>
      <w:tcPr>
        <w:shd w:val="clear" w:color="auto" w:fill="808080" w:themeFill="text1" w:themeFillTint="7F"/>
      </w:tcPr>
    </w:tblStylePr>
    <w:tblStylePr w:type="band1Horz">
      <w:tblPr/>
      <w:tcPr>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BE5F1" w:themeFill="accent1" w:themeFillTint="33"/>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2DBDB" w:themeFill="accent2" w:themeFillTint="33"/>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AF1DD" w:themeFill="accent3" w:themeFillTint="33"/>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5DFEC" w:themeFill="accent4" w:themeFillTint="33"/>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AEEF3" w:themeFill="accent5" w:themeFillTint="33"/>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DE9D9" w:themeFill="accent6" w:themeFillTint="33"/>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tblStylePr w:type="nwCell">
      <w:tblPr/>
      <w:tcPr>
        <w:shd w:val="clear" w:color="auto" w:fill="FFFFFF" w:themeFill="background1"/>
      </w:tcPr>
    </w:tblStylePr>
  </w:style>
  <w:style w:type="table" w:styleId="39">
    <w:name w:val="Medium Grid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000000" w:themeFill="text1"/>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style>
  <w:style w:type="table" w:styleId="3-1">
    <w:name w:val="Medium Grid 3 Accent 1"/>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4F81BD" w:themeFill="accent1"/>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7BFDE" w:themeFill="accent1" w:themeFillTint="7F"/>
      </w:tcPr>
    </w:tblStylePr>
  </w:style>
  <w:style w:type="table" w:styleId="3-2">
    <w:name w:val="Medium Grid 3 Accent 2"/>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C0504D" w:themeFill="accent2"/>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A7A6" w:themeFill="accent2" w:themeFillTint="7F"/>
      </w:tcPr>
    </w:tblStylePr>
  </w:style>
  <w:style w:type="table" w:styleId="3-3">
    <w:name w:val="Medium Grid 3 Accent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9BBB59" w:themeFill="accent3"/>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DDDAC" w:themeFill="accent3" w:themeFillTint="7F"/>
      </w:tcPr>
    </w:tblStylePr>
  </w:style>
  <w:style w:type="table" w:styleId="3-4">
    <w:name w:val="Medium Grid 3 Accent 4"/>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8064A2" w:themeFill="accent4"/>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1D0" w:themeFill="accent4" w:themeFillTint="7F"/>
      </w:tcPr>
    </w:tblStylePr>
  </w:style>
  <w:style w:type="table" w:styleId="3-5">
    <w:name w:val="Medium Grid 3 Accent 5"/>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4BACC6" w:themeFill="accent5"/>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D5E2" w:themeFill="accent5" w:themeFillTint="7F"/>
      </w:tcPr>
    </w:tblStylePr>
  </w:style>
  <w:style w:type="table" w:styleId="3-6">
    <w:name w:val="Medium Grid 3 Accent 6"/>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F79646" w:themeFill="accent6"/>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CAA2" w:themeFill="accent6" w:themeFillTint="7F"/>
      </w:tcPr>
    </w:tblStylePr>
  </w:style>
  <w:style w:type="table" w:styleId="affc">
    <w:name w:val="Dark List"/>
    <w:basedOn w:val="a3"/>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000000" w:themeFill="tex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000000" w:themeFill="tex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000000" w:themeFill="tex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style>
  <w:style w:type="table" w:styleId="-14">
    <w:name w:val="Dark List Accent 1"/>
    <w:basedOn w:val="a3"/>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243F60" w:themeFill="accen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365F91" w:themeFill="accen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365F91" w:themeFill="accen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365F91" w:themeFill="accen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365F91" w:themeFill="accent1" w:themeFillShade="BF"/>
      </w:tcPr>
    </w:tblStylePr>
  </w:style>
  <w:style w:type="table" w:styleId="-24">
    <w:name w:val="Dark List Accent 2"/>
    <w:basedOn w:val="a3"/>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622423" w:themeFill="accent2"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943634" w:themeFill="accent2"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943634" w:themeFill="accent2"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943634" w:themeFill="accent2"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943634" w:themeFill="accent2" w:themeFillShade="BF"/>
      </w:tcPr>
    </w:tblStylePr>
  </w:style>
  <w:style w:type="table" w:styleId="-34">
    <w:name w:val="Dark List Accent 3"/>
    <w:basedOn w:val="a3"/>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4E6128" w:themeFill="accent3"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76923C" w:themeFill="accent3"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76923C" w:themeFill="accent3"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76923C" w:themeFill="accent3"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76923C" w:themeFill="accent3" w:themeFillShade="BF"/>
      </w:tcPr>
    </w:tblStylePr>
  </w:style>
  <w:style w:type="table" w:styleId="-44">
    <w:name w:val="Dark List Accent 4"/>
    <w:basedOn w:val="a3"/>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3F3151" w:themeFill="accent4"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5F497A" w:themeFill="accent4"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5F497A" w:themeFill="accent4"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5F497A" w:themeFill="accent4"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5F497A" w:themeFill="accent4" w:themeFillShade="BF"/>
      </w:tcPr>
    </w:tblStylePr>
  </w:style>
  <w:style w:type="table" w:styleId="-54">
    <w:name w:val="Dark List Accent 5"/>
    <w:basedOn w:val="a3"/>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205867" w:themeFill="accent5"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31849B" w:themeFill="accent5"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31849B" w:themeFill="accent5"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31849B" w:themeFill="accent5"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31849B" w:themeFill="accent5" w:themeFillShade="BF"/>
      </w:tcPr>
    </w:tblStylePr>
  </w:style>
  <w:style w:type="table" w:styleId="-64">
    <w:name w:val="Dark List Accent 6"/>
    <w:basedOn w:val="a3"/>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974706" w:themeFill="accent6"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E36C0A" w:themeFill="accent6"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E36C0A" w:themeFill="accent6"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E36C0A" w:themeFill="accent6"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E36C0A" w:themeFill="accent6" w:themeFillShade="BF"/>
      </w:tcPr>
    </w:tblStylePr>
  </w:style>
  <w:style w:type="table" w:styleId="affd">
    <w:name w:val="Colorful Shading"/>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C4C74" w:themeFill="accen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5">
    <w:name w:val="Colorful Shading Accent 2"/>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772C2A" w:themeFill="accent2"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5">
    <w:name w:val="Colorful Shading Accent 3"/>
    <w:basedOn w:val="a3"/>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one" w:sz="4" w:space="0" w:color="000000"/>
          <w:left w:val="none" w:sz="4" w:space="0" w:color="000000"/>
          <w:bottom w:val="single" w:sz="24" w:space="0" w:color="8064A2" w:themeColor="accent4"/>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5E7530" w:themeFill="accent3"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one" w:sz="4" w:space="0" w:color="000000"/>
          <w:left w:val="none" w:sz="4" w:space="0" w:color="000000"/>
          <w:bottom w:val="single" w:sz="24" w:space="0" w:color="9BBB59" w:themeColor="accent3"/>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C3B62" w:themeFill="accent4"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one" w:sz="4" w:space="0" w:color="000000"/>
          <w:left w:val="none" w:sz="4" w:space="0" w:color="000000"/>
          <w:bottom w:val="single" w:sz="24" w:space="0" w:color="F79646" w:themeColor="accent6"/>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76A7C" w:themeFill="accent5"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one" w:sz="4" w:space="0" w:color="000000"/>
          <w:left w:val="none" w:sz="4" w:space="0" w:color="000000"/>
          <w:bottom w:val="single" w:sz="24" w:space="0" w:color="4BACC6" w:themeColor="accent5"/>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B65608" w:themeFill="accent6"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e">
    <w:name w:val="Colorful List"/>
    <w:basedOn w:val="a3"/>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C0C0C0" w:themeFill="text1" w:themeFillTint="3F"/>
      </w:tcPr>
    </w:tblStylePr>
    <w:tblStylePr w:type="band1Horz">
      <w:tblPr/>
      <w:tcPr>
        <w:shd w:val="clear" w:color="auto" w:fill="CCCCCC" w:themeFill="text1" w:themeFillTint="33"/>
      </w:tcPr>
    </w:tblStylePr>
  </w:style>
  <w:style w:type="table" w:styleId="-16">
    <w:name w:val="Colorful List Accent 1"/>
    <w:basedOn w:val="a3"/>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3DFEE" w:themeFill="accent1" w:themeFillTint="3F"/>
      </w:tcPr>
    </w:tblStylePr>
    <w:tblStylePr w:type="band1Horz">
      <w:tblPr/>
      <w:tcPr>
        <w:shd w:val="clear" w:color="auto" w:fill="DBE5F1" w:themeFill="accent1" w:themeFillTint="33"/>
      </w:tcPr>
    </w:tblStylePr>
  </w:style>
  <w:style w:type="table" w:styleId="-26">
    <w:name w:val="Colorful List Accent 2"/>
    <w:basedOn w:val="a3"/>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3"/>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Grid"/>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7">
    <w:name w:val="Colorful Grid Accent 1"/>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7">
    <w:name w:val="Colorful Grid Accent 3"/>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f0">
    <w:name w:val="Hyperlink"/>
    <w:basedOn w:val="a2"/>
    <w:uiPriority w:val="99"/>
    <w:unhideWhenUsed/>
    <w:rPr>
      <w:color w:val="0000FF" w:themeColor="hyperlink"/>
      <w:u w:val="single"/>
    </w:rPr>
  </w:style>
  <w:style w:type="character" w:styleId="afff1">
    <w:name w:val="Unresolved Mention"/>
    <w:basedOn w:val="a2"/>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antor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tan-torg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Liberation Sans"/>
        <a:cs typeface="Liberation Sans"/>
      </a:majorFont>
      <a:minorFont>
        <a:latin typeface="Cambria"/>
        <a:ea typeface="Liberation Sans"/>
        <a:cs typeface="Liberation Sans"/>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1102</Words>
  <Characters>6282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7370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17</cp:revision>
  <dcterms:created xsi:type="dcterms:W3CDTF">2013-12-23T23:15:00Z</dcterms:created>
  <dcterms:modified xsi:type="dcterms:W3CDTF">2026-09-17T06:31:00Z</dcterms:modified>
  <cp:category/>
</cp:coreProperties>
</file>